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#11</w:t>
      </w:r>
      <w:r>
        <w:rPr>
          <w:rFonts w:hint="eastAsia" w:cs="Arial"/>
          <w:b/>
          <w:lang w:val="en-US" w:eastAsia="zh-CN"/>
        </w:rPr>
        <w:t>9</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w:t>
      </w:r>
      <w:r>
        <w:rPr>
          <w:rFonts w:cs="Arial"/>
          <w:b/>
          <w:lang w:val="en-US" w:eastAsia="zh-CN"/>
        </w:rPr>
        <w:t>07586</w:t>
      </w:r>
    </w:p>
    <w:p>
      <w:pPr>
        <w:snapToGrid w:val="0"/>
        <w:spacing w:after="0" w:line="240" w:lineRule="auto"/>
        <w:rPr>
          <w:rFonts w:cs="Arial"/>
          <w:b/>
          <w:lang w:val="en-US" w:eastAsia="zh-CN"/>
        </w:rPr>
      </w:pPr>
      <w:r>
        <w:rPr>
          <w:rFonts w:cs="Arial"/>
          <w:b/>
        </w:rPr>
        <w:t xml:space="preserve">Online, </w:t>
      </w:r>
      <w:r>
        <w:rPr>
          <w:rFonts w:hint="eastAsia" w:cs="Arial"/>
          <w:b/>
          <w:lang w:val="en-US" w:eastAsia="zh-CN"/>
        </w:rPr>
        <w:t>Aug</w:t>
      </w:r>
      <w:r>
        <w:rPr>
          <w:rFonts w:cs="Arial"/>
          <w:b/>
        </w:rPr>
        <w:t xml:space="preserve"> </w:t>
      </w:r>
      <w:r>
        <w:rPr>
          <w:rFonts w:hint="eastAsia" w:cs="Arial"/>
          <w:b/>
          <w:lang w:val="en-US" w:eastAsia="zh-CN"/>
        </w:rPr>
        <w:t>17</w:t>
      </w:r>
      <w:r>
        <w:rPr>
          <w:rFonts w:cs="Arial"/>
          <w:b/>
        </w:rPr>
        <w:t>th –</w:t>
      </w:r>
      <w:r>
        <w:rPr>
          <w:rFonts w:hint="eastAsia" w:cs="Arial"/>
          <w:b/>
          <w:lang w:val="en-US" w:eastAsia="zh-CN"/>
        </w:rPr>
        <w:t xml:space="preserve"> 29</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sidelink positioning</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lang w:val="en-US" w:eastAsia="zh-CN"/>
        </w:rPr>
        <w:t>8.2.2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The SID [1] of sidelink positioning is achieved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widowControl/>
              <w:numPr>
                <w:ilvl w:val="0"/>
                <w:numId w:val="6"/>
              </w:numPr>
              <w:overflowPunct w:val="0"/>
              <w:autoSpaceDE w:val="0"/>
              <w:autoSpaceDN w:val="0"/>
              <w:adjustRightInd w:val="0"/>
              <w:snapToGrid w:val="0"/>
              <w:spacing w:before="50" w:after="50" w:line="240" w:lineRule="auto"/>
              <w:jc w:val="left"/>
              <w:textAlignment w:val="baseline"/>
              <w:rPr>
                <w:rFonts w:ascii="Times New Roman" w:hAnsi="Times New Roman" w:eastAsia="宋体"/>
                <w:bCs/>
                <w:kern w:val="0"/>
                <w:sz w:val="20"/>
                <w:szCs w:val="20"/>
                <w:lang w:val="en-US" w:eastAsia="zh-CN"/>
              </w:rPr>
            </w:pPr>
            <w:r>
              <w:rPr>
                <w:rFonts w:ascii="Times New Roman" w:hAnsi="Times New Roman"/>
                <w:bCs/>
                <w:sz w:val="20"/>
                <w:szCs w:val="20"/>
              </w:rPr>
              <w:t xml:space="preserve">Study solutions for sidelink positioning considering the following: [RAN1, RAN2] </w:t>
            </w:r>
          </w:p>
          <w:p>
            <w:pPr>
              <w:widowControl/>
              <w:numPr>
                <w:ilvl w:val="0"/>
                <w:numId w:val="6"/>
              </w:numPr>
              <w:overflowPunct w:val="0"/>
              <w:autoSpaceDE w:val="0"/>
              <w:autoSpaceDN w:val="0"/>
              <w:adjustRightInd w:val="0"/>
              <w:snapToGrid w:val="0"/>
              <w:spacing w:before="50" w:after="50" w:line="240" w:lineRule="auto"/>
              <w:ind w:left="1080"/>
              <w:jc w:val="left"/>
              <w:textAlignment w:val="baseline"/>
              <w:rPr>
                <w:rFonts w:ascii="Times New Roman" w:hAnsi="Times New Roman"/>
                <w:bCs/>
                <w:sz w:val="20"/>
                <w:szCs w:val="20"/>
              </w:rPr>
            </w:pPr>
            <w:r>
              <w:rPr>
                <w:rFonts w:ascii="Times New Roman" w:hAnsi="Times New Roman"/>
                <w:bCs/>
                <w:sz w:val="20"/>
                <w:szCs w:val="20"/>
              </w:rPr>
              <w:t xml:space="preserve">Scenario/requirements </w:t>
            </w:r>
          </w:p>
          <w:p>
            <w:pPr>
              <w:widowControl/>
              <w:numPr>
                <w:ilvl w:val="1"/>
                <w:numId w:val="6"/>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Pr>
                <w:rFonts w:ascii="Times New Roman" w:hAnsi="Times New Roman"/>
                <w:bCs/>
                <w:sz w:val="20"/>
                <w:szCs w:val="20"/>
              </w:rPr>
              <w:t>Coverage scenarios to cover: in-coverage, partial-coverage and out-of-coverage</w:t>
            </w:r>
          </w:p>
          <w:p>
            <w:pPr>
              <w:widowControl/>
              <w:numPr>
                <w:ilvl w:val="1"/>
                <w:numId w:val="6"/>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Pr>
                <w:rFonts w:ascii="Times New Roman" w:hAnsi="Times New Roman"/>
                <w:bCs/>
                <w:sz w:val="20"/>
                <w:szCs w:val="20"/>
              </w:rPr>
              <w:t>Requirements: Based on requirements identified in TR38.845 and TS22.261 and TS22.104</w:t>
            </w:r>
          </w:p>
          <w:p>
            <w:pPr>
              <w:widowControl/>
              <w:numPr>
                <w:ilvl w:val="1"/>
                <w:numId w:val="6"/>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Pr>
                <w:rFonts w:ascii="Times New Roman" w:hAnsi="Times New Roman"/>
                <w:bCs/>
                <w:sz w:val="20"/>
                <w:szCs w:val="20"/>
              </w:rPr>
              <w:t>Use cases: V2X (TR38.845), public safety (TR38.845), commercial (TS22.261), IIOT (TS22.104)</w:t>
            </w:r>
          </w:p>
          <w:p>
            <w:pPr>
              <w:widowControl/>
              <w:numPr>
                <w:ilvl w:val="1"/>
                <w:numId w:val="6"/>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Pr>
                <w:rFonts w:ascii="Times New Roman" w:hAnsi="Times New Roman"/>
                <w:bCs/>
                <w:sz w:val="20"/>
                <w:szCs w:val="20"/>
              </w:rPr>
              <w:t>Spectrum: ITS, licensed</w:t>
            </w:r>
          </w:p>
          <w:p>
            <w:pPr>
              <w:widowControl/>
              <w:numPr>
                <w:ilvl w:val="0"/>
                <w:numId w:val="6"/>
              </w:numPr>
              <w:overflowPunct w:val="0"/>
              <w:autoSpaceDE w:val="0"/>
              <w:autoSpaceDN w:val="0"/>
              <w:adjustRightInd w:val="0"/>
              <w:snapToGrid w:val="0"/>
              <w:spacing w:before="50" w:after="50" w:line="240" w:lineRule="auto"/>
              <w:ind w:left="1080"/>
              <w:jc w:val="left"/>
              <w:textAlignment w:val="baseline"/>
              <w:rPr>
                <w:rFonts w:ascii="Times New Roman" w:hAnsi="Times New Roman"/>
                <w:bCs/>
                <w:sz w:val="20"/>
                <w:szCs w:val="20"/>
              </w:rPr>
            </w:pPr>
            <w:r>
              <w:rPr>
                <w:rFonts w:ascii="Times New Roman" w:hAnsi="Times New Roman"/>
                <w:bCs/>
                <w:sz w:val="20"/>
                <w:szCs w:val="20"/>
              </w:rPr>
              <w:t>Identify specific target performance requirements to be considered for the evaluation based on existing 3GPP work and inputs from industry forums [RAN1]</w:t>
            </w:r>
          </w:p>
          <w:p>
            <w:pPr>
              <w:widowControl/>
              <w:numPr>
                <w:ilvl w:val="0"/>
                <w:numId w:val="6"/>
              </w:numPr>
              <w:overflowPunct w:val="0"/>
              <w:autoSpaceDE w:val="0"/>
              <w:autoSpaceDN w:val="0"/>
              <w:adjustRightInd w:val="0"/>
              <w:snapToGrid w:val="0"/>
              <w:spacing w:before="50" w:after="50" w:line="240" w:lineRule="auto"/>
              <w:ind w:left="1080"/>
              <w:jc w:val="left"/>
              <w:textAlignment w:val="baseline"/>
              <w:rPr>
                <w:rFonts w:ascii="Times New Roman" w:hAnsi="Times New Roman"/>
                <w:bCs/>
                <w:sz w:val="20"/>
                <w:szCs w:val="20"/>
              </w:rPr>
            </w:pPr>
            <w:r>
              <w:rPr>
                <w:rFonts w:ascii="Times New Roman" w:hAnsi="Times New Roman"/>
                <w:bCs/>
                <w:sz w:val="20"/>
                <w:szCs w:val="20"/>
              </w:rPr>
              <w:t xml:space="preserve">Define evaluation methodology with which to evaluate SL positioning for the uses cases and coverage scenarios, reusing existing methodologies from sidelink communication and from positioning as much as possible [RAN1]. </w:t>
            </w:r>
          </w:p>
          <w:p>
            <w:pPr>
              <w:widowControl/>
              <w:numPr>
                <w:ilvl w:val="0"/>
                <w:numId w:val="6"/>
              </w:numPr>
              <w:overflowPunct w:val="0"/>
              <w:autoSpaceDE w:val="0"/>
              <w:autoSpaceDN w:val="0"/>
              <w:adjustRightInd w:val="0"/>
              <w:snapToGrid w:val="0"/>
              <w:spacing w:before="50" w:after="50" w:line="240" w:lineRule="auto"/>
              <w:ind w:left="1080"/>
              <w:jc w:val="left"/>
              <w:textAlignment w:val="baseline"/>
              <w:rPr>
                <w:rFonts w:ascii="Times New Roman" w:hAnsi="Times New Roman"/>
                <w:bCs/>
                <w:sz w:val="20"/>
                <w:szCs w:val="20"/>
              </w:rPr>
            </w:pPr>
            <w:r>
              <w:rPr>
                <w:rFonts w:ascii="Times New Roman" w:hAnsi="Times New Roman"/>
                <w:bCs/>
                <w:sz w:val="20"/>
                <w:szCs w:val="20"/>
              </w:rPr>
              <w:t>Study and evaluate performance and feasibility of potential solutions for SL positioning, considering relative positioning, ranging and absolute positioning: [RAN1, RAN2]</w:t>
            </w:r>
          </w:p>
          <w:p>
            <w:pPr>
              <w:widowControl/>
              <w:numPr>
                <w:ilvl w:val="1"/>
                <w:numId w:val="6"/>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Pr>
                <w:rFonts w:ascii="Times New Roman" w:hAnsi="Times New Roman"/>
                <w:bCs/>
                <w:sz w:val="20"/>
                <w:szCs w:val="20"/>
              </w:rPr>
              <w:t>Evaluate bandwidth requirement needed to meet the identified accuracy requirements [RAN1]</w:t>
            </w:r>
          </w:p>
          <w:p>
            <w:pPr>
              <w:widowControl/>
              <w:numPr>
                <w:ilvl w:val="1"/>
                <w:numId w:val="6"/>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Pr>
                <w:rFonts w:ascii="Times New Roman" w:hAnsi="Times New Roman"/>
                <w:bCs/>
                <w:sz w:val="20"/>
                <w:szCs w:val="20"/>
              </w:rPr>
              <w:t>Study of positioning methods (e.g. TDOA, RTT, AOA/D, etc) including combination of SL positioning measurements with other RAT dependent positioning measurements (e.g. Uu based measurements) [RAN1]</w:t>
            </w:r>
          </w:p>
          <w:p>
            <w:pPr>
              <w:widowControl/>
              <w:numPr>
                <w:ilvl w:val="1"/>
                <w:numId w:val="6"/>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Pr>
                <w:rFonts w:ascii="Times New Roman" w:hAnsi="Times New Roman"/>
                <w:bCs/>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pPr>
              <w:widowControl/>
              <w:numPr>
                <w:ilvl w:val="1"/>
                <w:numId w:val="6"/>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Pr>
                <w:rFonts w:ascii="Times New Roman" w:hAnsi="Times New Roman"/>
                <w:bCs/>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pPr>
              <w:adjustRightInd w:val="0"/>
              <w:snapToGrid w:val="0"/>
              <w:spacing w:before="50" w:after="50" w:line="240" w:lineRule="auto"/>
              <w:ind w:left="1080"/>
              <w:rPr>
                <w:rFonts w:ascii="Times New Roman" w:hAnsi="Times New Roman"/>
                <w:bCs/>
                <w:sz w:val="20"/>
                <w:szCs w:val="20"/>
              </w:rPr>
            </w:pPr>
            <w:r>
              <w:rPr>
                <w:rFonts w:ascii="Times New Roman" w:hAnsi="Times New Roman"/>
                <w:bCs/>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pPr>
        <w:adjustRightInd w:val="0"/>
        <w:snapToGrid w:val="0"/>
        <w:spacing w:before="50" w:after="50" w:line="240" w:lineRule="auto"/>
        <w:rPr>
          <w:rFonts w:ascii="Times New Roman" w:hAnsi="Times New Roman"/>
          <w:sz w:val="20"/>
          <w:lang w:eastAsia="zh-CN"/>
        </w:rPr>
      </w:pPr>
      <w:r>
        <w:rPr>
          <w:rFonts w:ascii="Times New Roman" w:hAnsi="Times New Roman"/>
          <w:sz w:val="20"/>
          <w:lang w:val="en-US" w:eastAsia="zh-CN"/>
        </w:rPr>
        <w:t xml:space="preserve">It specifies the RAN2’s responsibility is to design </w:t>
      </w:r>
      <w:r>
        <w:rPr>
          <w:rFonts w:ascii="Times New Roman" w:hAnsi="Times New Roman"/>
          <w:bCs/>
          <w:sz w:val="20"/>
          <w:szCs w:val="20"/>
        </w:rPr>
        <w:t>positioning architecture and signalling procedures (e.g. configuration, measurement reporting, etc.) to enable sidelink positioning covering both UE based and network based positioning [RAN2, including coordination and alignment with RAN3 and SA2 as required]. So in this contribution, we share some views of the overall architecture and signallings of sidelink positioning.</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lang w:val="en-US" w:eastAsia="zh-CN"/>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rPr>
          <w:sz w:val="24"/>
          <w:szCs w:val="28"/>
          <w:lang w:val="en-US" w:eastAsia="zh-CN"/>
        </w:rPr>
      </w:pPr>
      <w:r>
        <w:rPr>
          <w:sz w:val="24"/>
          <w:szCs w:val="28"/>
          <w:lang w:val="en-US" w:eastAsia="zh-CN"/>
        </w:rPr>
        <w:t>Overall structure of SL positioning</w:t>
      </w:r>
    </w:p>
    <w:p>
      <w:pPr>
        <w:pageBreakBefore w:val="0"/>
        <w:kinsoku/>
        <w:wordWrap/>
        <w:topLinePunct w:val="0"/>
        <w:bidi w:val="0"/>
        <w:adjustRightInd w:val="0"/>
        <w:snapToGrid w:val="0"/>
        <w:spacing w:before="157" w:beforeLines="50" w:after="157" w:afterLines="50"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Similar as Uu based positioning, the basic principle of sidelink positioning </w:t>
      </w:r>
      <w:r>
        <w:rPr>
          <w:rFonts w:hint="eastAsia" w:ascii="Times New Roman" w:hAnsi="Times New Roman"/>
          <w:bCs/>
          <w:sz w:val="20"/>
          <w:szCs w:val="20"/>
          <w:lang w:val="en-US" w:eastAsia="zh-CN"/>
        </w:rPr>
        <w:t>should be</w:t>
      </w:r>
      <w:r>
        <w:rPr>
          <w:rFonts w:ascii="Times New Roman" w:hAnsi="Times New Roman"/>
          <w:bCs/>
          <w:sz w:val="20"/>
          <w:szCs w:val="20"/>
          <w:lang w:val="en-US" w:eastAsia="zh-CN"/>
        </w:rPr>
        <w:t xml:space="preserve"> that</w:t>
      </w:r>
      <w:r>
        <w:rPr>
          <w:rFonts w:hint="eastAsia" w:ascii="Times New Roman" w:hAnsi="Times New Roman"/>
          <w:bCs/>
          <w:sz w:val="20"/>
          <w:szCs w:val="20"/>
          <w:lang w:val="en-US" w:eastAsia="zh-CN"/>
        </w:rPr>
        <w:t>,</w:t>
      </w:r>
      <w:r>
        <w:rPr>
          <w:rFonts w:ascii="Times New Roman" w:hAnsi="Times New Roman"/>
          <w:bCs/>
          <w:sz w:val="20"/>
          <w:szCs w:val="20"/>
          <w:lang w:val="en-US" w:eastAsia="zh-CN"/>
        </w:rPr>
        <w:t xml:space="preserve"> one UE is required to interact with several other reference nodes for acquiring positioning measurement. Figure 1 from TS 38.305 [2] depicts the Uu interface-based positioning, and Figure 2 from TS 23.287 [3] depicts the V2X communication structure over PC5 and Uu interface. Since the SID indicates to reuse the architecture/procedure of sidelink communication and traditional positioning as much as possible, the combined structure should be supported for Rel-18 sidelink positioning as indicated in Figure 3, in which the sidelink </w:t>
      </w:r>
      <w:r>
        <w:rPr>
          <w:rFonts w:hint="eastAsia" w:ascii="Times New Roman" w:hAnsi="Times New Roman"/>
          <w:bCs/>
          <w:sz w:val="20"/>
          <w:szCs w:val="20"/>
          <w:lang w:val="en-US" w:eastAsia="zh-CN"/>
        </w:rPr>
        <w:t xml:space="preserve">positioning </w:t>
      </w:r>
      <w:r>
        <w:rPr>
          <w:rFonts w:ascii="Times New Roman" w:hAnsi="Times New Roman"/>
          <w:bCs/>
          <w:sz w:val="20"/>
          <w:szCs w:val="20"/>
          <w:lang w:val="en-US" w:eastAsia="zh-CN"/>
        </w:rPr>
        <w:t xml:space="preserve">part is added </w:t>
      </w:r>
      <w:r>
        <w:rPr>
          <w:rFonts w:hint="eastAsia" w:ascii="Times New Roman" w:hAnsi="Times New Roman"/>
          <w:bCs/>
          <w:sz w:val="20"/>
          <w:szCs w:val="20"/>
          <w:lang w:val="en-US" w:eastAsia="zh-CN"/>
        </w:rPr>
        <w:t>as</w:t>
      </w:r>
      <w:r>
        <w:rPr>
          <w:rFonts w:ascii="Times New Roman" w:hAnsi="Times New Roman"/>
          <w:bCs/>
          <w:sz w:val="20"/>
          <w:szCs w:val="20"/>
          <w:lang w:val="en-US" w:eastAsia="zh-CN"/>
        </w:rPr>
        <w:t xml:space="preserve"> red.</w:t>
      </w:r>
    </w:p>
    <w:p>
      <w:pPr>
        <w:pStyle w:val="88"/>
        <w:adjustRightInd w:val="0"/>
        <w:snapToGrid w:val="0"/>
        <w:spacing w:before="50" w:after="50" w:line="240" w:lineRule="auto"/>
        <w:ind w:left="425"/>
        <w:jc w:val="center"/>
        <w:rPr>
          <w:rFonts w:eastAsia="Yu Mincho"/>
          <w:kern w:val="0"/>
          <w:sz w:val="24"/>
          <w:szCs w:val="24"/>
          <w:lang w:val="en-US" w:eastAsia="zh-CN"/>
        </w:rPr>
      </w:pPr>
      <w:r>
        <w:rPr>
          <w:lang w:val="en-US" w:eastAsia="zh-CN"/>
        </w:rPr>
        <w:drawing>
          <wp:inline distT="0" distB="0" distL="0" distR="0">
            <wp:extent cx="4444365" cy="2159635"/>
            <wp:effectExtent l="0" t="0" r="0" b="0"/>
            <wp:docPr id="5" name="图片 5" descr="C:\Users\00255772\AppData\Local\Temp\ksohtml75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00255772\AppData\Local\Temp\ksohtml7568\wps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444614" cy="2160000"/>
                    </a:xfrm>
                    <a:prstGeom prst="rect">
                      <a:avLst/>
                    </a:prstGeom>
                    <a:noFill/>
                    <a:ln>
                      <a:noFill/>
                    </a:ln>
                  </pic:spPr>
                </pic:pic>
              </a:graphicData>
            </a:graphic>
          </wp:inline>
        </w:drawing>
      </w:r>
    </w:p>
    <w:p>
      <w:pPr>
        <w:pStyle w:val="197"/>
        <w:snapToGrid w:val="0"/>
        <w:spacing w:before="156" w:beforeLines="50" w:after="156" w:afterLines="50" w:line="240" w:lineRule="auto"/>
        <w:ind w:left="425"/>
        <w:rPr>
          <w:rFonts w:ascii="Times New Roman" w:hAnsi="Times New Roman" w:eastAsiaTheme="minorEastAsia"/>
          <w:b w:val="0"/>
          <w:bCs/>
          <w:kern w:val="2"/>
          <w:lang w:eastAsia="en-GB"/>
        </w:rPr>
      </w:pPr>
      <w:r>
        <w:rPr>
          <w:rFonts w:ascii="Times New Roman" w:hAnsi="Times New Roman" w:eastAsiaTheme="minorEastAsia"/>
          <w:b w:val="0"/>
          <w:bCs/>
          <w:kern w:val="2"/>
          <w:lang w:eastAsia="en-GB"/>
        </w:rPr>
        <w:t>Figure 1. UE Positioning Overall Architecture applicable to NG-RAN</w:t>
      </w:r>
    </w:p>
    <w:p>
      <w:pPr>
        <w:adjustRightInd w:val="0"/>
        <w:snapToGrid w:val="0"/>
        <w:spacing w:before="50" w:after="50" w:line="240" w:lineRule="auto"/>
        <w:jc w:val="center"/>
        <w:rPr>
          <w:rFonts w:ascii="Times New Roman" w:hAnsi="Times New Roman" w:eastAsia="宋体"/>
          <w:kern w:val="0"/>
          <w:sz w:val="24"/>
          <w:szCs w:val="24"/>
          <w:lang w:val="en-US" w:eastAsia="zh-CN"/>
        </w:rPr>
      </w:pPr>
      <w:r>
        <w:rPr>
          <w:lang w:val="en-US" w:eastAsia="zh-CN"/>
        </w:rPr>
        <w:drawing>
          <wp:inline distT="0" distB="0" distL="0" distR="0">
            <wp:extent cx="4244975" cy="3095625"/>
            <wp:effectExtent l="0" t="0" r="3175" b="9525"/>
            <wp:docPr id="7" name="图片 7" descr="C:\Users\00255772\AppData\Local\Temp\ksohtml756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00255772\AppData\Local\Temp\ksohtml7568\wps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245462" cy="3096000"/>
                    </a:xfrm>
                    <a:prstGeom prst="rect">
                      <a:avLst/>
                    </a:prstGeom>
                    <a:noFill/>
                    <a:ln>
                      <a:noFill/>
                    </a:ln>
                  </pic:spPr>
                </pic:pic>
              </a:graphicData>
            </a:graphic>
          </wp:inline>
        </w:drawing>
      </w:r>
    </w:p>
    <w:p>
      <w:pPr>
        <w:adjustRightInd w:val="0"/>
        <w:snapToGrid w:val="0"/>
        <w:spacing w:before="50" w:after="50" w:line="240" w:lineRule="auto"/>
        <w:jc w:val="center"/>
        <w:rPr>
          <w:rFonts w:ascii="Times New Roman" w:hAnsi="Times New Roman"/>
          <w:bCs/>
          <w:sz w:val="20"/>
          <w:szCs w:val="20"/>
        </w:rPr>
      </w:pPr>
      <w:r>
        <w:rPr>
          <w:rFonts w:hint="eastAsia" w:ascii="Times New Roman" w:hAnsi="Times New Roman"/>
          <w:bCs/>
          <w:sz w:val="20"/>
          <w:szCs w:val="20"/>
        </w:rPr>
        <w:t xml:space="preserve">Figure 2. </w:t>
      </w:r>
      <w:r>
        <w:rPr>
          <w:rFonts w:ascii="Times New Roman" w:hAnsi="Times New Roman"/>
          <w:bCs/>
          <w:sz w:val="20"/>
          <w:szCs w:val="20"/>
        </w:rPr>
        <w:t>Non-roaming 5G System architecture for V2X communication over PC5 and Uu reference points</w:t>
      </w:r>
    </w:p>
    <w:p>
      <w:pPr>
        <w:adjustRightInd w:val="0"/>
        <w:snapToGrid w:val="0"/>
        <w:spacing w:before="50" w:after="50" w:line="240" w:lineRule="auto"/>
        <w:jc w:val="center"/>
        <w:rPr>
          <w:rFonts w:ascii="Times New Roman" w:hAnsi="Times New Roman"/>
          <w:bCs/>
          <w:sz w:val="20"/>
          <w:szCs w:val="20"/>
        </w:rPr>
      </w:pPr>
      <w:r>
        <w:rPr>
          <w:rFonts w:hint="eastAsia" w:ascii="Times New Roman" w:hAnsi="Times New Roman"/>
          <w:bCs/>
          <w:sz w:val="20"/>
          <w:szCs w:val="20"/>
          <w:lang w:val="en-US" w:eastAsia="zh-CN"/>
        </w:rPr>
        <w:drawing>
          <wp:inline distT="0" distB="0" distL="0" distR="0">
            <wp:extent cx="5356225" cy="21234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56585" cy="2124000"/>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bCs/>
          <w:sz w:val="20"/>
          <w:szCs w:val="20"/>
          <w:lang w:eastAsia="zh-CN"/>
        </w:rPr>
      </w:pPr>
      <w:r>
        <w:rPr>
          <w:rFonts w:hint="eastAsia" w:ascii="Times New Roman" w:hAnsi="Times New Roman"/>
          <w:bCs/>
          <w:sz w:val="20"/>
          <w:szCs w:val="20"/>
          <w:lang w:eastAsia="zh-CN"/>
        </w:rPr>
        <w:t xml:space="preserve">Figure 3. </w:t>
      </w:r>
      <w:r>
        <w:rPr>
          <w:rFonts w:ascii="Times New Roman" w:hAnsi="Times New Roman"/>
          <w:bCs/>
          <w:sz w:val="20"/>
          <w:szCs w:val="20"/>
          <w:lang w:eastAsia="zh-CN"/>
        </w:rPr>
        <w:t xml:space="preserve">Suggested </w:t>
      </w:r>
      <w:r>
        <w:rPr>
          <w:rFonts w:hint="eastAsia" w:ascii="Times New Roman" w:hAnsi="Times New Roman"/>
          <w:bCs/>
          <w:sz w:val="20"/>
          <w:szCs w:val="20"/>
          <w:lang w:eastAsia="zh-CN"/>
        </w:rPr>
        <w:t xml:space="preserve">overall </w:t>
      </w:r>
      <w:r>
        <w:rPr>
          <w:rFonts w:ascii="Times New Roman" w:hAnsi="Times New Roman"/>
          <w:bCs/>
          <w:sz w:val="20"/>
          <w:szCs w:val="20"/>
          <w:lang w:eastAsia="zh-CN"/>
        </w:rPr>
        <w:t>structure of SL positioning</w:t>
      </w:r>
    </w:p>
    <w:p>
      <w:pPr>
        <w:adjustRightInd w:val="0"/>
        <w:snapToGrid w:val="0"/>
        <w:spacing w:before="156" w:beforeLines="50" w:after="156" w:afterLines="50" w:line="240" w:lineRule="auto"/>
        <w:rPr>
          <w:rFonts w:ascii="Times New Roman" w:hAnsi="Times New Roman"/>
          <w:bCs/>
          <w:sz w:val="20"/>
          <w:szCs w:val="20"/>
        </w:rPr>
      </w:pPr>
      <w:r>
        <w:rPr>
          <w:rFonts w:ascii="Times New Roman" w:hAnsi="Times New Roman"/>
          <w:bCs/>
          <w:sz w:val="20"/>
          <w:szCs w:val="20"/>
        </w:rPr>
        <w:t xml:space="preserve">It can be seen that UE C and UE B interact positioning signalling/reference signals only via PC5 reference point, while for UE A, both Uu-based signalling/reference signals and PC5-based signalling/reference signals (e.g., with UE B) can be supported. </w:t>
      </w:r>
      <w:r>
        <w:rPr>
          <w:rFonts w:ascii="Times New Roman" w:hAnsi="Times New Roman"/>
          <w:kern w:val="0"/>
          <w:sz w:val="20"/>
          <w:szCs w:val="20"/>
          <w:lang w:val="en-US" w:eastAsia="zh-CN"/>
        </w:rPr>
        <w:t xml:space="preserve">For absolute positioning, it is beneficial for LMF </w:t>
      </w:r>
      <w:r>
        <w:rPr>
          <w:rFonts w:hint="eastAsia" w:ascii="Times New Roman" w:hAnsi="Times New Roman"/>
          <w:kern w:val="0"/>
          <w:sz w:val="20"/>
          <w:szCs w:val="20"/>
          <w:lang w:val="en-US" w:eastAsia="zh-CN"/>
        </w:rPr>
        <w:t>to</w:t>
      </w:r>
      <w:r>
        <w:rPr>
          <w:rFonts w:ascii="Times New Roman" w:hAnsi="Times New Roman"/>
          <w:kern w:val="0"/>
          <w:sz w:val="20"/>
          <w:szCs w:val="20"/>
          <w:lang w:val="en-US" w:eastAsia="zh-CN"/>
        </w:rPr>
        <w:t xml:space="preserve"> schedule sidelink positioning methods and combine the Uu interface-based positioning and PC5 interface-based positioning measurement results, to acquire the accurate coordinates of the target UE </w:t>
      </w:r>
      <w:r>
        <w:rPr>
          <w:rFonts w:ascii="Times New Roman" w:hAnsi="Times New Roman"/>
          <w:bCs/>
          <w:sz w:val="20"/>
          <w:szCs w:val="20"/>
        </w:rPr>
        <w:t>and further increase the positioning accuracy, reliability or robustness</w:t>
      </w:r>
      <w:r>
        <w:rPr>
          <w:rFonts w:ascii="Times New Roman" w:hAnsi="Times New Roman"/>
          <w:kern w:val="0"/>
          <w:sz w:val="20"/>
          <w:szCs w:val="20"/>
          <w:lang w:val="en-US" w:eastAsia="zh-CN"/>
        </w:rPr>
        <w:t xml:space="preserve">. </w:t>
      </w:r>
      <w:r>
        <w:rPr>
          <w:rFonts w:ascii="Times New Roman" w:hAnsi="Times New Roman"/>
          <w:bCs/>
          <w:sz w:val="20"/>
          <w:szCs w:val="20"/>
        </w:rPr>
        <w:t xml:space="preserve">Therefore we think in Rel-18 sidelink positioning, support to further study both PC5-only positioning and the hybrid of PC5-based and Uu-based positioning. </w:t>
      </w:r>
    </w:p>
    <w:p>
      <w:pPr>
        <w:adjustRightInd w:val="0"/>
        <w:snapToGrid w:val="0"/>
        <w:spacing w:before="156" w:beforeLines="50" w:after="156" w:afterLines="50" w:line="240" w:lineRule="auto"/>
        <w:rPr>
          <w:rFonts w:ascii="Times New Roman" w:hAnsi="Times New Roman"/>
          <w:b/>
          <w:bCs/>
          <w:i/>
          <w:sz w:val="20"/>
          <w:szCs w:val="20"/>
        </w:rPr>
      </w:pPr>
      <w:r>
        <w:rPr>
          <w:rFonts w:ascii="Times New Roman" w:hAnsi="Times New Roman"/>
          <w:b/>
          <w:bCs/>
          <w:i/>
          <w:sz w:val="20"/>
          <w:szCs w:val="20"/>
        </w:rPr>
        <w:t>Proposal 1: In Rel-18 sidelink positioning, support to further study both PC5-only positioning and the hybrid of PC5-based and Uu-based positioning.</w:t>
      </w:r>
    </w:p>
    <w:p>
      <w:pPr>
        <w:pStyle w:val="3"/>
        <w:numPr>
          <w:ilvl w:val="1"/>
          <w:numId w:val="5"/>
        </w:numPr>
        <w:snapToGrid w:val="0"/>
        <w:spacing w:before="156" w:beforeLines="50" w:after="156" w:afterLines="50"/>
        <w:rPr>
          <w:sz w:val="24"/>
          <w:szCs w:val="28"/>
          <w:lang w:val="en-US" w:eastAsia="zh-CN"/>
        </w:rPr>
      </w:pPr>
      <w:r>
        <w:rPr>
          <w:rFonts w:hint="eastAsia"/>
          <w:sz w:val="24"/>
          <w:szCs w:val="28"/>
          <w:lang w:val="en-US" w:eastAsia="zh-CN"/>
        </w:rPr>
        <w:t>Structure of different scenarios</w:t>
      </w:r>
    </w:p>
    <w:p>
      <w:pPr>
        <w:pStyle w:val="197"/>
        <w:snapToGrid w:val="0"/>
        <w:spacing w:before="156" w:beforeLines="50" w:after="156" w:afterLines="50" w:line="240" w:lineRule="auto"/>
        <w:jc w:val="both"/>
        <w:rPr>
          <w:rFonts w:ascii="Times New Roman" w:hAnsi="Times New Roman" w:eastAsiaTheme="minorEastAsia"/>
          <w:b w:val="0"/>
          <w:bCs/>
          <w:kern w:val="2"/>
          <w:lang w:eastAsia="zh-CN"/>
        </w:rPr>
      </w:pPr>
      <w:r>
        <w:rPr>
          <w:rFonts w:ascii="Times New Roman" w:hAnsi="Times New Roman" w:eastAsiaTheme="minorEastAsia"/>
          <w:b w:val="0"/>
          <w:bCs/>
          <w:kern w:val="2"/>
          <w:lang w:eastAsia="zh-CN"/>
        </w:rPr>
        <w:t>RAN1#109e [4] has reached agreements to define target UE and anchor UEs, i.e., target UE is the UE to be positioned (in this context, using SL, i.e. PC5 interface), and anchor UE is the UE supporting positioning of target UE, e.g., by transmitting and/or receiving reference signals for positioning, providing positioning-related information, etc., over the SL interface.</w:t>
      </w:r>
      <w:r>
        <w:rPr>
          <w:rFonts w:hint="eastAsia" w:ascii="Times New Roman" w:hAnsi="Times New Roman" w:eastAsiaTheme="minorEastAsia"/>
          <w:b w:val="0"/>
          <w:bCs/>
          <w:kern w:val="2"/>
          <w:lang w:eastAsia="zh-CN"/>
        </w:rPr>
        <w:t xml:space="preserve"> </w:t>
      </w:r>
      <w:r>
        <w:rPr>
          <w:rFonts w:ascii="Times New Roman" w:hAnsi="Times New Roman" w:eastAsiaTheme="minorEastAsia"/>
          <w:b w:val="0"/>
          <w:bCs/>
          <w:kern w:val="2"/>
          <w:lang w:eastAsia="zh-CN"/>
        </w:rPr>
        <w:t xml:space="preserve">As shown in figure 4, for the sidelink structure, target UE and anchor UE can be in in coverage, partial coverage and out of coverage, respectively. To be specific: </w:t>
      </w:r>
    </w:p>
    <w:p>
      <w:pPr>
        <w:numPr>
          <w:ilvl w:val="0"/>
          <w:numId w:val="7"/>
        </w:numPr>
        <w:adjustRightInd w:val="0"/>
        <w:snapToGrid w:val="0"/>
        <w:spacing w:before="156" w:beforeLines="50" w:after="156" w:afterLines="50" w:line="240" w:lineRule="auto"/>
        <w:rPr>
          <w:rFonts w:ascii="Times New Roman" w:hAnsi="Times New Roman"/>
          <w:bCs/>
          <w:sz w:val="20"/>
          <w:szCs w:val="20"/>
          <w:lang w:val="en-US" w:eastAsia="zh-CN"/>
        </w:rPr>
      </w:pPr>
      <w:r>
        <w:rPr>
          <w:rFonts w:hint="eastAsia" w:ascii="Times New Roman" w:hAnsi="Times New Roman"/>
          <w:bCs/>
          <w:sz w:val="20"/>
          <w:szCs w:val="20"/>
          <w:lang w:val="en-US" w:eastAsia="zh-CN"/>
        </w:rPr>
        <w:t>Target UE and anchor UEs are both in/partial coverage</w:t>
      </w:r>
    </w:p>
    <w:p>
      <w:pPr>
        <w:numPr>
          <w:ilvl w:val="0"/>
          <w:numId w:val="7"/>
        </w:numPr>
        <w:adjustRightInd w:val="0"/>
        <w:snapToGrid w:val="0"/>
        <w:spacing w:before="156" w:beforeLines="50" w:after="156" w:afterLines="50" w:line="240" w:lineRule="auto"/>
        <w:rPr>
          <w:rFonts w:ascii="Times New Roman" w:hAnsi="Times New Roman"/>
          <w:bCs/>
          <w:sz w:val="20"/>
          <w:szCs w:val="20"/>
          <w:lang w:val="en-US" w:eastAsia="zh-CN"/>
        </w:rPr>
      </w:pPr>
      <w:r>
        <w:rPr>
          <w:rFonts w:hint="eastAsia" w:ascii="Times New Roman" w:hAnsi="Times New Roman"/>
          <w:bCs/>
          <w:sz w:val="20"/>
          <w:szCs w:val="20"/>
          <w:lang w:val="en-US" w:eastAsia="zh-CN"/>
        </w:rPr>
        <w:t>Target UE is in/partial coverage, while anchor UEs are out of coverage</w:t>
      </w:r>
    </w:p>
    <w:p>
      <w:pPr>
        <w:numPr>
          <w:ilvl w:val="0"/>
          <w:numId w:val="7"/>
        </w:numPr>
        <w:adjustRightInd w:val="0"/>
        <w:snapToGrid w:val="0"/>
        <w:spacing w:before="156" w:beforeLines="50" w:after="156" w:afterLines="50" w:line="240" w:lineRule="auto"/>
        <w:rPr>
          <w:rFonts w:ascii="Times New Roman" w:hAnsi="Times New Roman"/>
          <w:bCs/>
          <w:sz w:val="20"/>
          <w:szCs w:val="20"/>
          <w:lang w:val="en-US" w:eastAsia="zh-CN"/>
        </w:rPr>
      </w:pPr>
      <w:r>
        <w:rPr>
          <w:rFonts w:hint="eastAsia" w:ascii="Times New Roman" w:hAnsi="Times New Roman"/>
          <w:bCs/>
          <w:sz w:val="20"/>
          <w:szCs w:val="20"/>
          <w:lang w:val="en-US" w:eastAsia="zh-CN"/>
        </w:rPr>
        <w:t xml:space="preserve">Target UE is out of coverage, while anchor UEs are in/partial coverage </w:t>
      </w:r>
    </w:p>
    <w:p>
      <w:pPr>
        <w:numPr>
          <w:ilvl w:val="0"/>
          <w:numId w:val="7"/>
        </w:numPr>
        <w:adjustRightInd w:val="0"/>
        <w:snapToGrid w:val="0"/>
        <w:spacing w:before="156" w:beforeLines="50" w:after="156" w:afterLines="50" w:line="240" w:lineRule="auto"/>
        <w:rPr>
          <w:rFonts w:ascii="Times New Roman" w:hAnsi="Times New Roman"/>
          <w:bCs/>
          <w:sz w:val="20"/>
          <w:szCs w:val="20"/>
          <w:lang w:val="en-US" w:eastAsia="zh-CN"/>
        </w:rPr>
      </w:pPr>
      <w:r>
        <w:rPr>
          <w:rFonts w:hint="eastAsia" w:ascii="Times New Roman" w:hAnsi="Times New Roman"/>
          <w:bCs/>
          <w:sz w:val="20"/>
          <w:szCs w:val="20"/>
          <w:lang w:val="en-US" w:eastAsia="zh-CN"/>
        </w:rPr>
        <w:t>Target UE and anchor UEs are both out of coverage</w:t>
      </w:r>
    </w:p>
    <w:p>
      <w:pPr>
        <w:pStyle w:val="197"/>
        <w:snapToGrid w:val="0"/>
        <w:spacing w:before="156" w:beforeLines="50" w:after="156" w:afterLines="50" w:line="240" w:lineRule="auto"/>
        <w:ind w:leftChars="-1" w:hanging="2" w:hangingChars="1"/>
        <w:rPr>
          <w:rFonts w:ascii="Times New Roman" w:hAnsi="Times New Roman" w:eastAsiaTheme="minorEastAsia"/>
          <w:b w:val="0"/>
          <w:bCs/>
          <w:kern w:val="2"/>
          <w:lang w:eastAsia="zh-CN"/>
        </w:rPr>
      </w:pPr>
      <w:r>
        <w:rPr>
          <w:rFonts w:ascii="Times New Roman" w:hAnsi="Times New Roman" w:eastAsiaTheme="minorEastAsia"/>
          <w:b w:val="0"/>
          <w:bCs/>
          <w:kern w:val="2"/>
          <w:lang w:val="en-US" w:eastAsia="zh-CN"/>
        </w:rPr>
        <w:drawing>
          <wp:inline distT="0" distB="0" distL="0" distR="0">
            <wp:extent cx="5311140" cy="2807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11193" cy="2808000"/>
                    </a:xfrm>
                    <a:prstGeom prst="rect">
                      <a:avLst/>
                    </a:prstGeom>
                  </pic:spPr>
                </pic:pic>
              </a:graphicData>
            </a:graphic>
          </wp:inline>
        </w:drawing>
      </w:r>
    </w:p>
    <w:p>
      <w:pPr>
        <w:pStyle w:val="197"/>
        <w:snapToGrid w:val="0"/>
        <w:spacing w:before="156" w:beforeLines="50" w:after="156" w:afterLines="50" w:line="240" w:lineRule="auto"/>
        <w:ind w:left="420"/>
        <w:rPr>
          <w:rFonts w:ascii="Times New Roman" w:hAnsi="Times New Roman" w:eastAsiaTheme="minorEastAsia"/>
          <w:b w:val="0"/>
          <w:bCs/>
          <w:kern w:val="2"/>
          <w:lang w:eastAsia="zh-CN"/>
        </w:rPr>
      </w:pPr>
      <w:r>
        <w:rPr>
          <w:rFonts w:ascii="Times New Roman" w:hAnsi="Times New Roman" w:eastAsiaTheme="minorEastAsia"/>
          <w:b w:val="0"/>
          <w:bCs/>
          <w:kern w:val="2"/>
          <w:lang w:eastAsia="zh-CN"/>
        </w:rPr>
        <w:t xml:space="preserve">Figure 4. Target UE and anchor UEs in different sidelink scenarios </w:t>
      </w:r>
    </w:p>
    <w:p>
      <w:pPr>
        <w:adjustRightInd w:val="0"/>
        <w:snapToGrid w:val="0"/>
        <w:spacing w:before="156" w:beforeLines="50" w:after="156" w:afterLines="50" w:line="240" w:lineRule="auto"/>
        <w:rPr>
          <w:rFonts w:ascii="Times New Roman" w:hAnsi="Times New Roman"/>
          <w:bCs/>
          <w:sz w:val="20"/>
          <w:szCs w:val="20"/>
          <w:lang w:val="en-US" w:eastAsia="zh-CN"/>
        </w:rPr>
      </w:pPr>
      <w:r>
        <w:rPr>
          <w:rFonts w:ascii="Times New Roman" w:hAnsi="Times New Roman"/>
          <w:bCs/>
          <w:sz w:val="20"/>
          <w:szCs w:val="20"/>
          <w:lang w:val="en-US" w:eastAsia="zh-CN"/>
        </w:rPr>
        <w:t>These four scenarios are typical since signaling transfer is different under different scenarios, which will have impact on further RAN2’s design. For example, if target UE and anchor UEs in a positioning session are both in coverage, MT-LR can be supported for sidelink positioning, and the SL-PRS configuration of target UE and anchor UEs can come from LMF, LMF can also play a role as a transfer station for interacting target UE and anchor UE’s capability; if the target UE is out of coverage, the target UE may only support MO-LR and can only use the pre-configured SL-PRS configuration. From our point of view, these four scenarios have no priority order. Therefore, we think in Rel-18 sidelink positioning, these different scenarios should all be supported and further studied.</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kern w:val="0"/>
          <w:sz w:val="20"/>
          <w:szCs w:val="20"/>
          <w:lang w:val="en-US" w:eastAsia="zh-CN"/>
        </w:rPr>
        <w:t xml:space="preserve">Proposal </w:t>
      </w:r>
      <w:r>
        <w:rPr>
          <w:rFonts w:ascii="Times New Roman" w:hAnsi="Times New Roman"/>
          <w:b/>
          <w:bCs/>
          <w:i/>
          <w:iCs/>
          <w:kern w:val="0"/>
          <w:sz w:val="20"/>
          <w:szCs w:val="20"/>
          <w:lang w:val="en-US" w:eastAsia="zh-CN"/>
        </w:rPr>
        <w:t>2</w:t>
      </w:r>
      <w:r>
        <w:rPr>
          <w:rFonts w:hint="eastAsia" w:ascii="Times New Roman" w:hAnsi="Times New Roman"/>
          <w:b/>
          <w:bCs/>
          <w:i/>
          <w:iCs/>
          <w:kern w:val="0"/>
          <w:sz w:val="20"/>
          <w:szCs w:val="20"/>
          <w:lang w:val="en-US" w:eastAsia="zh-CN"/>
        </w:rPr>
        <w:t xml:space="preserve">: </w:t>
      </w:r>
      <w:r>
        <w:rPr>
          <w:rFonts w:ascii="Times New Roman" w:hAnsi="Times New Roman"/>
          <w:b/>
          <w:bCs/>
          <w:i/>
          <w:iCs/>
          <w:kern w:val="0"/>
          <w:sz w:val="20"/>
          <w:szCs w:val="20"/>
          <w:lang w:val="en-US" w:eastAsia="zh-CN"/>
        </w:rPr>
        <w:t xml:space="preserve">For Rel-18 sidelink positioning, support RAN2 to consider the following scenarios for further study: </w:t>
      </w:r>
    </w:p>
    <w:p>
      <w:pPr>
        <w:numPr>
          <w:ilvl w:val="0"/>
          <w:numId w:val="7"/>
        </w:numPr>
        <w:adjustRightInd w:val="0"/>
        <w:snapToGrid w:val="0"/>
        <w:spacing w:before="156" w:beforeLines="50" w:after="156" w:afterLines="50" w:line="240" w:lineRule="auto"/>
        <w:ind w:left="1050" w:leftChars="50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Target UE and anchor UEs are both in/partial coverage </w:t>
      </w:r>
    </w:p>
    <w:p>
      <w:pPr>
        <w:numPr>
          <w:ilvl w:val="0"/>
          <w:numId w:val="7"/>
        </w:numPr>
        <w:adjustRightInd w:val="0"/>
        <w:snapToGrid w:val="0"/>
        <w:spacing w:before="156" w:beforeLines="50" w:after="156" w:afterLines="50" w:line="240" w:lineRule="auto"/>
        <w:ind w:left="1050" w:leftChars="50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Target UE is in/partial coverage, while anchor UEs are out of coverage</w:t>
      </w:r>
    </w:p>
    <w:p>
      <w:pPr>
        <w:numPr>
          <w:ilvl w:val="0"/>
          <w:numId w:val="7"/>
        </w:numPr>
        <w:adjustRightInd w:val="0"/>
        <w:snapToGrid w:val="0"/>
        <w:spacing w:before="156" w:beforeLines="50" w:after="156" w:afterLines="50" w:line="240" w:lineRule="auto"/>
        <w:ind w:left="1050" w:leftChars="50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Target UE is out of coverage, while anchor UEs are in/partial coverage </w:t>
      </w:r>
    </w:p>
    <w:p>
      <w:pPr>
        <w:numPr>
          <w:ilvl w:val="0"/>
          <w:numId w:val="7"/>
        </w:numPr>
        <w:adjustRightInd w:val="0"/>
        <w:snapToGrid w:val="0"/>
        <w:spacing w:before="156" w:beforeLines="50" w:after="156" w:afterLines="50" w:line="240" w:lineRule="auto"/>
        <w:ind w:left="1050" w:leftChars="50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Target UE and anchor UEs are both out of coverage </w:t>
      </w:r>
    </w:p>
    <w:p>
      <w:pPr>
        <w:pStyle w:val="3"/>
        <w:numPr>
          <w:ilvl w:val="1"/>
          <w:numId w:val="5"/>
        </w:numPr>
        <w:snapToGrid w:val="0"/>
        <w:spacing w:before="156" w:beforeLines="50" w:after="156" w:afterLines="50"/>
        <w:rPr>
          <w:sz w:val="24"/>
          <w:szCs w:val="28"/>
          <w:lang w:val="en-US" w:eastAsia="zh-CN"/>
        </w:rPr>
      </w:pPr>
      <w:r>
        <w:rPr>
          <w:rFonts w:hint="eastAsia"/>
          <w:sz w:val="24"/>
          <w:szCs w:val="28"/>
          <w:lang w:val="en-US" w:eastAsia="zh-CN"/>
        </w:rPr>
        <w:t>Structure of different positioning methods</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In RAN1#109e</w:t>
      </w:r>
      <w:r>
        <w:rPr>
          <w:rFonts w:ascii="Times New Roman" w:hAnsi="Times New Roman"/>
          <w:kern w:val="0"/>
          <w:sz w:val="20"/>
          <w:szCs w:val="20"/>
          <w:lang w:val="en-US" w:eastAsia="zh-CN"/>
        </w:rPr>
        <w:t xml:space="preserve"> [4]</w:t>
      </w:r>
      <w:r>
        <w:rPr>
          <w:rFonts w:hint="eastAsia" w:ascii="Times New Roman" w:hAnsi="Times New Roman"/>
          <w:kern w:val="0"/>
          <w:sz w:val="20"/>
          <w:szCs w:val="20"/>
          <w:lang w:val="en-US" w:eastAsia="zh-CN"/>
        </w:rPr>
        <w:t>, the agreement of supported sidelink positioning methods is as follow:</w:t>
      </w:r>
    </w:p>
    <w:tbl>
      <w:tblPr>
        <w:tblStyle w:val="5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adjustRightInd w:val="0"/>
              <w:snapToGrid w:val="0"/>
              <w:spacing w:before="156" w:beforeLines="50" w:after="156" w:afterLines="50" w:line="240" w:lineRule="auto"/>
              <w:rPr>
                <w:rFonts w:ascii="Times New Roman" w:hAnsi="Times New Roman"/>
                <w:kern w:val="0"/>
                <w:sz w:val="20"/>
                <w:szCs w:val="20"/>
                <w:highlight w:val="green"/>
                <w:lang w:val="en-US" w:eastAsia="zh-CN"/>
              </w:rPr>
            </w:pPr>
            <w:r>
              <w:rPr>
                <w:rFonts w:hint="eastAsia" w:ascii="Times New Roman" w:hAnsi="Times New Roman"/>
                <w:kern w:val="0"/>
                <w:sz w:val="20"/>
                <w:szCs w:val="20"/>
                <w:highlight w:val="green"/>
                <w:lang w:val="en-US" w:eastAsia="zh-CN"/>
              </w:rPr>
              <w:t>Agreement</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With regards to the Positioning methods supported using SL measurements study further the following methods:</w:t>
            </w:r>
          </w:p>
          <w:p>
            <w:pPr>
              <w:numPr>
                <w:ilvl w:val="0"/>
                <w:numId w:val="8"/>
              </w:num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RTT-type solutions using SL</w:t>
            </w:r>
          </w:p>
          <w:p>
            <w:pPr>
              <w:adjustRightInd w:val="0"/>
              <w:snapToGrid w:val="0"/>
              <w:spacing w:before="156" w:beforeLines="50" w:after="156" w:afterLines="50" w:line="240" w:lineRule="auto"/>
              <w:ind w:left="420" w:leftChars="200"/>
              <w:rPr>
                <w:rFonts w:ascii="Times New Roman" w:hAnsi="Times New Roman"/>
                <w:kern w:val="0"/>
                <w:sz w:val="20"/>
                <w:szCs w:val="20"/>
                <w:lang w:val="en-US" w:eastAsia="zh-CN"/>
              </w:rPr>
            </w:pPr>
            <w:r>
              <w:rPr>
                <w:rFonts w:hint="eastAsia" w:ascii="Times New Roman" w:hAnsi="Times New Roman"/>
                <w:kern w:val="0"/>
                <w:sz w:val="20"/>
                <w:szCs w:val="20"/>
                <w:lang w:val="en-US" w:eastAsia="zh-CN"/>
              </w:rPr>
              <w:t>Study both single-sided (also known as one-way) and double-sided (also known as two-way) RTT</w:t>
            </w:r>
          </w:p>
          <w:p>
            <w:pPr>
              <w:numPr>
                <w:ilvl w:val="0"/>
                <w:numId w:val="8"/>
              </w:num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SL-AoA</w:t>
            </w:r>
          </w:p>
          <w:p>
            <w:pPr>
              <w:adjustRightInd w:val="0"/>
              <w:snapToGrid w:val="0"/>
              <w:spacing w:before="156" w:beforeLines="50" w:after="156" w:afterLines="50" w:line="240" w:lineRule="auto"/>
              <w:ind w:left="420" w:leftChars="200"/>
              <w:rPr>
                <w:rFonts w:ascii="Times New Roman" w:hAnsi="Times New Roman"/>
                <w:kern w:val="0"/>
                <w:sz w:val="20"/>
                <w:szCs w:val="20"/>
                <w:lang w:val="en-US" w:eastAsia="zh-CN"/>
              </w:rPr>
            </w:pPr>
            <w:r>
              <w:rPr>
                <w:rFonts w:hint="eastAsia" w:ascii="Times New Roman" w:hAnsi="Times New Roman"/>
                <w:kern w:val="0"/>
                <w:sz w:val="20"/>
                <w:szCs w:val="20"/>
                <w:lang w:val="en-US" w:eastAsia="zh-CN"/>
              </w:rPr>
              <w:t>Include both Azimuth of arrival (AoA) and zenith of arrival (ZoA) in the study</w:t>
            </w:r>
          </w:p>
          <w:p>
            <w:pPr>
              <w:numPr>
                <w:ilvl w:val="0"/>
                <w:numId w:val="8"/>
              </w:num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SL-TDOA</w:t>
            </w:r>
          </w:p>
          <w:p>
            <w:pPr>
              <w:numPr>
                <w:ilvl w:val="0"/>
                <w:numId w:val="8"/>
              </w:num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SL-AoD</w:t>
            </w:r>
          </w:p>
          <w:p>
            <w:pPr>
              <w:adjustRightInd w:val="0"/>
              <w:snapToGrid w:val="0"/>
              <w:spacing w:before="156" w:beforeLines="50" w:after="156" w:afterLines="50" w:line="240" w:lineRule="auto"/>
              <w:ind w:left="420" w:leftChars="200"/>
              <w:rPr>
                <w:rFonts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Corresponds to a method where RSRP and/or RSRPP measurements similar to the DL-AoD method in Uu. </w:t>
            </w:r>
          </w:p>
          <w:p>
            <w:pPr>
              <w:adjustRightInd w:val="0"/>
              <w:snapToGrid w:val="0"/>
              <w:spacing w:before="156" w:beforeLines="50" w:after="156" w:afterLines="50" w:line="240" w:lineRule="auto"/>
              <w:ind w:left="420" w:leftChars="200"/>
              <w:rPr>
                <w:rFonts w:ascii="Times New Roman" w:hAnsi="Times New Roman"/>
                <w:kern w:val="0"/>
                <w:sz w:val="20"/>
                <w:szCs w:val="20"/>
                <w:lang w:val="en-US" w:eastAsia="zh-CN"/>
              </w:rPr>
            </w:pPr>
            <w:r>
              <w:rPr>
                <w:rFonts w:hint="eastAsia" w:ascii="Times New Roman" w:hAnsi="Times New Roman"/>
                <w:kern w:val="0"/>
                <w:sz w:val="20"/>
                <w:szCs w:val="20"/>
                <w:lang w:val="en-US" w:eastAsia="zh-CN"/>
              </w:rPr>
              <w:t>Include both Azimuth of departure (AoD) and zenith of departure (ZoD) in the study</w:t>
            </w:r>
          </w:p>
        </w:tc>
      </w:tr>
    </w:tbl>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There are two kinds of SL-TDOA, one is like DL-TDOA, target UE receives SL-PRS from other reference nodes and measure the RSTD; the other is like UL-TDOA, target UE sends SL-PRS to other reference nodes, then other reference nodes measures its corresponding RTOA. </w:t>
      </w:r>
      <w:r>
        <w:rPr>
          <w:rFonts w:ascii="Times New Roman" w:hAnsi="Times New Roman"/>
          <w:kern w:val="0"/>
          <w:sz w:val="20"/>
          <w:szCs w:val="20"/>
          <w:lang w:val="en-US" w:eastAsia="zh-CN"/>
        </w:rPr>
        <w:t>So for D2D sidelink positioning, the difference between different positioning methods is the content of capability/assistance data/measurement report and the PRS destination, which are RAN1’s scope to further excavate. So we suggest to wait for RAN1’s decision on detailed signaling interaction of different positioning methods.</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Proposal 3: For sidelink positioning, suggest to wait for RAN1’s decision on detailed signaling interaction of different </w:t>
      </w:r>
      <w:r>
        <w:rPr>
          <w:rFonts w:hint="eastAsia" w:ascii="Times New Roman" w:hAnsi="Times New Roman"/>
          <w:b/>
          <w:i/>
          <w:kern w:val="0"/>
          <w:sz w:val="20"/>
          <w:szCs w:val="20"/>
          <w:lang w:val="en-US" w:eastAsia="zh-CN"/>
        </w:rPr>
        <w:t xml:space="preserve">sidelink </w:t>
      </w:r>
      <w:r>
        <w:rPr>
          <w:rFonts w:ascii="Times New Roman" w:hAnsi="Times New Roman"/>
          <w:b/>
          <w:i/>
          <w:kern w:val="0"/>
          <w:sz w:val="20"/>
          <w:szCs w:val="20"/>
          <w:lang w:val="en-US" w:eastAsia="zh-CN"/>
        </w:rPr>
        <w:t>positioning methods.</w:t>
      </w:r>
    </w:p>
    <w:p>
      <w:pPr>
        <w:pStyle w:val="3"/>
        <w:numPr>
          <w:ilvl w:val="1"/>
          <w:numId w:val="5"/>
        </w:numPr>
        <w:snapToGrid w:val="0"/>
        <w:spacing w:before="156" w:beforeLines="50" w:after="156" w:afterLines="50"/>
        <w:rPr>
          <w:sz w:val="24"/>
          <w:szCs w:val="28"/>
          <w:lang w:val="en-US" w:eastAsia="zh-CN"/>
        </w:rPr>
      </w:pPr>
      <w:r>
        <w:rPr>
          <w:rFonts w:hint="eastAsia"/>
          <w:sz w:val="24"/>
          <w:szCs w:val="28"/>
          <w:lang w:val="en-US" w:eastAsia="zh-CN"/>
        </w:rPr>
        <w:t>Control signaling transfer</w:t>
      </w:r>
    </w:p>
    <w:p>
      <w:pPr>
        <w:pStyle w:val="67"/>
        <w:adjustRightInd w:val="0"/>
        <w:snapToGrid w:val="0"/>
        <w:spacing w:before="156" w:beforeLines="50" w:after="156" w:afterLines="50" w:line="240" w:lineRule="auto"/>
        <w:ind w:firstLine="0" w:firstLineChars="0"/>
        <w:rPr>
          <w:rFonts w:ascii="Times New Roman" w:hAnsi="Times New Roman"/>
          <w:kern w:val="0"/>
          <w:sz w:val="20"/>
          <w:szCs w:val="20"/>
          <w:lang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the former session, we discuss the overall architecture of sidelink positioning, including analysis of different scenarios and sidelink positioning methods. Based on the high level structure, this section discusses our thoughts on the control signaling transfer of sidelink positioning. From our point of view, the fundamental control signalings of sidelink positioning should be the same with Uu positioning, which at least include:</w:t>
      </w:r>
    </w:p>
    <w:p>
      <w:pPr>
        <w:pStyle w:val="67"/>
        <w:numPr>
          <w:ilvl w:val="0"/>
          <w:numId w:val="9"/>
        </w:numPr>
        <w:adjustRightInd w:val="0"/>
        <w:snapToGrid w:val="0"/>
        <w:spacing w:before="156" w:beforeLines="50" w:after="156" w:afterLines="50" w:line="240" w:lineRule="auto"/>
        <w:ind w:firstLine="400"/>
        <w:rPr>
          <w:rFonts w:ascii="Times New Roman" w:hAnsi="Times New Roman"/>
          <w:bCs/>
          <w:sz w:val="20"/>
          <w:szCs w:val="20"/>
        </w:rPr>
      </w:pPr>
      <w:r>
        <w:rPr>
          <w:rFonts w:ascii="Times New Roman" w:hAnsi="Times New Roman"/>
          <w:bCs/>
          <w:sz w:val="20"/>
          <w:szCs w:val="20"/>
          <w:lang w:eastAsia="zh-CN"/>
        </w:rPr>
        <w:t>P</w:t>
      </w:r>
      <w:r>
        <w:rPr>
          <w:rFonts w:hint="eastAsia" w:ascii="Times New Roman" w:hAnsi="Times New Roman"/>
          <w:bCs/>
          <w:sz w:val="20"/>
          <w:szCs w:val="20"/>
          <w:lang w:eastAsia="zh-CN"/>
        </w:rPr>
        <w:t xml:space="preserve">ositioning </w:t>
      </w:r>
      <w:r>
        <w:rPr>
          <w:rFonts w:ascii="Times New Roman" w:hAnsi="Times New Roman"/>
          <w:bCs/>
          <w:sz w:val="20"/>
          <w:szCs w:val="20"/>
          <w:lang w:eastAsia="zh-CN"/>
        </w:rPr>
        <w:t xml:space="preserve">session </w:t>
      </w:r>
      <w:r>
        <w:rPr>
          <w:rFonts w:hint="eastAsia" w:ascii="Times New Roman" w:hAnsi="Times New Roman"/>
          <w:bCs/>
          <w:sz w:val="20"/>
          <w:szCs w:val="20"/>
          <w:lang w:eastAsia="zh-CN"/>
        </w:rPr>
        <w:t>establishment</w:t>
      </w:r>
    </w:p>
    <w:p>
      <w:pPr>
        <w:pStyle w:val="67"/>
        <w:numPr>
          <w:ilvl w:val="0"/>
          <w:numId w:val="9"/>
        </w:numPr>
        <w:adjustRightInd w:val="0"/>
        <w:snapToGrid w:val="0"/>
        <w:spacing w:before="156" w:beforeLines="50" w:after="156" w:afterLines="50" w:line="240" w:lineRule="auto"/>
        <w:ind w:left="1559" w:leftChars="590" w:hanging="320" w:hangingChars="160"/>
        <w:rPr>
          <w:rFonts w:ascii="Times New Roman" w:hAnsi="Times New Roman"/>
          <w:bCs/>
          <w:sz w:val="20"/>
          <w:szCs w:val="20"/>
        </w:rPr>
      </w:pPr>
      <w:r>
        <w:rPr>
          <w:rFonts w:ascii="Times New Roman" w:hAnsi="Times New Roman"/>
          <w:bCs/>
          <w:sz w:val="20"/>
          <w:szCs w:val="20"/>
          <w:lang w:val="en-US" w:eastAsia="zh-CN"/>
        </w:rPr>
        <w:t>Positioning session establishment should be the first step of sidelink positioning. After this, UEs will know which other UEs share the same positioning session, then the following signaling interaction becomes possible. Positioning session establishment can be NW scheduling or UE self-discovery. The further details of this step can be left to SA2’s decision.</w:t>
      </w:r>
    </w:p>
    <w:p>
      <w:pPr>
        <w:pStyle w:val="67"/>
        <w:numPr>
          <w:ilvl w:val="0"/>
          <w:numId w:val="9"/>
        </w:numPr>
        <w:adjustRightInd w:val="0"/>
        <w:snapToGrid w:val="0"/>
        <w:spacing w:before="156" w:beforeLines="50" w:after="156" w:afterLines="50" w:line="240" w:lineRule="auto"/>
        <w:ind w:firstLine="400"/>
        <w:rPr>
          <w:rFonts w:ascii="Times New Roman" w:hAnsi="Times New Roman"/>
          <w:bCs/>
          <w:sz w:val="20"/>
          <w:szCs w:val="20"/>
        </w:rPr>
      </w:pPr>
      <w:r>
        <w:rPr>
          <w:rFonts w:ascii="Times New Roman" w:hAnsi="Times New Roman"/>
          <w:bCs/>
          <w:sz w:val="20"/>
          <w:szCs w:val="20"/>
        </w:rPr>
        <w:t>Capability interaction</w:t>
      </w:r>
    </w:p>
    <w:p>
      <w:pPr>
        <w:pStyle w:val="67"/>
        <w:numPr>
          <w:ilvl w:val="0"/>
          <w:numId w:val="9"/>
        </w:numPr>
        <w:adjustRightInd w:val="0"/>
        <w:snapToGrid w:val="0"/>
        <w:spacing w:before="156" w:beforeLines="50" w:after="156" w:afterLines="50" w:line="240" w:lineRule="auto"/>
        <w:ind w:left="1559" w:leftChars="590" w:hanging="320" w:hangingChars="160"/>
        <w:rPr>
          <w:rFonts w:ascii="Times New Roman" w:hAnsi="Times New Roman"/>
          <w:bCs/>
          <w:sz w:val="20"/>
          <w:szCs w:val="20"/>
        </w:rPr>
      </w:pPr>
      <w:r>
        <w:rPr>
          <w:rFonts w:ascii="Times New Roman" w:hAnsi="Times New Roman"/>
          <w:bCs/>
          <w:sz w:val="20"/>
          <w:szCs w:val="20"/>
        </w:rPr>
        <w:t>RAN2-related signaling. Target UE and anchor UEs interact with each other the sidelink positioning capability, including SL-PRS processing capability, location calculation capability, etc.</w:t>
      </w:r>
    </w:p>
    <w:p>
      <w:pPr>
        <w:pStyle w:val="67"/>
        <w:numPr>
          <w:ilvl w:val="0"/>
          <w:numId w:val="9"/>
        </w:numPr>
        <w:adjustRightInd w:val="0"/>
        <w:snapToGrid w:val="0"/>
        <w:spacing w:before="156" w:beforeLines="50" w:after="156" w:afterLines="50" w:line="240" w:lineRule="auto"/>
        <w:ind w:firstLine="400"/>
        <w:rPr>
          <w:rFonts w:ascii="Times New Roman" w:hAnsi="Times New Roman"/>
          <w:bCs/>
          <w:sz w:val="20"/>
          <w:szCs w:val="20"/>
        </w:rPr>
      </w:pPr>
      <w:r>
        <w:rPr>
          <w:rFonts w:ascii="Times New Roman" w:hAnsi="Times New Roman"/>
          <w:bCs/>
          <w:sz w:val="20"/>
          <w:szCs w:val="20"/>
        </w:rPr>
        <w:t>Assistance data interaction</w:t>
      </w:r>
    </w:p>
    <w:p>
      <w:pPr>
        <w:pStyle w:val="67"/>
        <w:numPr>
          <w:ilvl w:val="0"/>
          <w:numId w:val="9"/>
        </w:numPr>
        <w:adjustRightInd w:val="0"/>
        <w:snapToGrid w:val="0"/>
        <w:spacing w:before="156" w:beforeLines="50" w:after="156" w:afterLines="50" w:line="240" w:lineRule="auto"/>
        <w:ind w:left="1559" w:leftChars="595" w:hanging="310" w:hangingChars="155"/>
        <w:rPr>
          <w:rFonts w:ascii="Times New Roman" w:hAnsi="Times New Roman"/>
          <w:bCs/>
          <w:sz w:val="20"/>
          <w:szCs w:val="20"/>
        </w:rPr>
      </w:pPr>
      <w:r>
        <w:rPr>
          <w:rFonts w:ascii="Times New Roman" w:hAnsi="Times New Roman"/>
          <w:bCs/>
          <w:sz w:val="20"/>
          <w:szCs w:val="20"/>
        </w:rPr>
        <w:t>RAN2-related signaling. Target UE and anchor UEs should know the sending SL-PRS configuration of itself, and the sending SL-PRS configuration of other UEs.</w:t>
      </w:r>
    </w:p>
    <w:p>
      <w:pPr>
        <w:pStyle w:val="67"/>
        <w:numPr>
          <w:ilvl w:val="0"/>
          <w:numId w:val="9"/>
        </w:numPr>
        <w:adjustRightInd w:val="0"/>
        <w:snapToGrid w:val="0"/>
        <w:spacing w:before="156" w:beforeLines="50" w:after="156" w:afterLines="50" w:line="240" w:lineRule="auto"/>
        <w:ind w:left="1559" w:leftChars="595" w:hanging="310" w:hangingChars="155"/>
        <w:rPr>
          <w:rFonts w:ascii="Times New Roman" w:hAnsi="Times New Roman"/>
          <w:bCs/>
          <w:sz w:val="20"/>
          <w:szCs w:val="20"/>
        </w:rPr>
      </w:pPr>
      <w:r>
        <w:rPr>
          <w:rFonts w:hint="eastAsia" w:ascii="Times New Roman" w:hAnsi="Times New Roman"/>
          <w:bCs/>
          <w:sz w:val="20"/>
          <w:szCs w:val="20"/>
          <w:lang w:val="en-US" w:eastAsia="zh-CN"/>
        </w:rPr>
        <w:t>For absolute positioning, t</w:t>
      </w:r>
      <w:r>
        <w:rPr>
          <w:rFonts w:ascii="Times New Roman" w:hAnsi="Times New Roman"/>
          <w:bCs/>
          <w:sz w:val="20"/>
          <w:szCs w:val="20"/>
        </w:rPr>
        <w:t xml:space="preserve">arget UE should know the anchor UE’s </w:t>
      </w:r>
      <w:r>
        <w:rPr>
          <w:rFonts w:hint="eastAsia" w:ascii="Times New Roman" w:hAnsi="Times New Roman"/>
          <w:bCs/>
          <w:sz w:val="20"/>
          <w:szCs w:val="20"/>
          <w:lang w:val="en-US" w:eastAsia="zh-CN"/>
        </w:rPr>
        <w:t xml:space="preserve">real </w:t>
      </w:r>
      <w:r>
        <w:rPr>
          <w:rFonts w:ascii="Times New Roman" w:hAnsi="Times New Roman"/>
          <w:bCs/>
          <w:sz w:val="20"/>
          <w:szCs w:val="20"/>
        </w:rPr>
        <w:t>position.</w:t>
      </w:r>
    </w:p>
    <w:p>
      <w:pPr>
        <w:pStyle w:val="67"/>
        <w:numPr>
          <w:ilvl w:val="0"/>
          <w:numId w:val="9"/>
        </w:numPr>
        <w:adjustRightInd w:val="0"/>
        <w:snapToGrid w:val="0"/>
        <w:spacing w:before="156" w:beforeLines="50" w:after="156" w:afterLines="50" w:line="240" w:lineRule="auto"/>
        <w:ind w:firstLine="400"/>
        <w:rPr>
          <w:rFonts w:ascii="Times New Roman" w:hAnsi="Times New Roman"/>
          <w:bCs/>
          <w:sz w:val="20"/>
          <w:szCs w:val="20"/>
        </w:rPr>
      </w:pPr>
      <w:r>
        <w:rPr>
          <w:rFonts w:ascii="Times New Roman" w:hAnsi="Times New Roman"/>
          <w:bCs/>
          <w:sz w:val="20"/>
          <w:szCs w:val="20"/>
        </w:rPr>
        <w:t>Positioning measurement report</w:t>
      </w:r>
    </w:p>
    <w:p>
      <w:pPr>
        <w:pStyle w:val="67"/>
        <w:numPr>
          <w:ilvl w:val="0"/>
          <w:numId w:val="9"/>
        </w:numPr>
        <w:adjustRightInd w:val="0"/>
        <w:snapToGrid w:val="0"/>
        <w:spacing w:before="156" w:beforeLines="50" w:after="156" w:afterLines="50" w:line="240" w:lineRule="auto"/>
        <w:ind w:left="1559" w:leftChars="590" w:hanging="320" w:hangingChars="160"/>
        <w:rPr>
          <w:rFonts w:ascii="Times New Roman" w:hAnsi="Times New Roman"/>
          <w:bCs/>
          <w:sz w:val="20"/>
          <w:szCs w:val="20"/>
        </w:rPr>
      </w:pPr>
      <w:r>
        <w:rPr>
          <w:rFonts w:ascii="Times New Roman" w:hAnsi="Times New Roman"/>
          <w:bCs/>
          <w:sz w:val="20"/>
          <w:szCs w:val="20"/>
        </w:rPr>
        <w:t>RAN2-related signaling. Based on different service type and different scenarios, the positioning measurement report can be sent to LMF or target UE.</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4: In Rel-18 sidelink positioning, support RAN2 to further study the following control signaling:</w:t>
      </w:r>
    </w:p>
    <w:p>
      <w:pPr>
        <w:pStyle w:val="67"/>
        <w:numPr>
          <w:ilvl w:val="0"/>
          <w:numId w:val="9"/>
        </w:numPr>
        <w:adjustRightInd w:val="0"/>
        <w:snapToGrid w:val="0"/>
        <w:spacing w:before="156" w:beforeLines="50" w:after="156" w:afterLines="50" w:line="240" w:lineRule="auto"/>
        <w:ind w:firstLine="402"/>
        <w:rPr>
          <w:rFonts w:ascii="Times New Roman" w:hAnsi="Times New Roman"/>
          <w:b/>
          <w:bCs/>
          <w:i/>
          <w:sz w:val="20"/>
          <w:szCs w:val="20"/>
        </w:rPr>
      </w:pPr>
      <w:r>
        <w:rPr>
          <w:rFonts w:ascii="Times New Roman" w:hAnsi="Times New Roman"/>
          <w:b/>
          <w:bCs/>
          <w:i/>
          <w:sz w:val="20"/>
          <w:szCs w:val="20"/>
        </w:rPr>
        <w:t>Capability interaction</w:t>
      </w:r>
    </w:p>
    <w:p>
      <w:pPr>
        <w:pStyle w:val="67"/>
        <w:numPr>
          <w:ilvl w:val="0"/>
          <w:numId w:val="9"/>
        </w:numPr>
        <w:adjustRightInd w:val="0"/>
        <w:snapToGrid w:val="0"/>
        <w:spacing w:before="156" w:beforeLines="50" w:after="156" w:afterLines="50" w:line="240" w:lineRule="auto"/>
        <w:ind w:firstLine="402"/>
        <w:rPr>
          <w:rFonts w:ascii="Times New Roman" w:hAnsi="Times New Roman"/>
          <w:b/>
          <w:bCs/>
          <w:i/>
          <w:sz w:val="20"/>
          <w:szCs w:val="20"/>
        </w:rPr>
      </w:pPr>
      <w:r>
        <w:rPr>
          <w:rFonts w:ascii="Times New Roman" w:hAnsi="Times New Roman"/>
          <w:b/>
          <w:bCs/>
          <w:i/>
          <w:sz w:val="20"/>
          <w:szCs w:val="20"/>
        </w:rPr>
        <w:t>Assistance data interaction, may include:</w:t>
      </w:r>
    </w:p>
    <w:p>
      <w:pPr>
        <w:pStyle w:val="67"/>
        <w:numPr>
          <w:ilvl w:val="0"/>
          <w:numId w:val="9"/>
        </w:numPr>
        <w:adjustRightInd w:val="0"/>
        <w:snapToGrid w:val="0"/>
        <w:spacing w:before="156" w:beforeLines="50" w:after="156" w:afterLines="50" w:line="240" w:lineRule="auto"/>
        <w:ind w:left="840" w:leftChars="400" w:firstLine="402"/>
        <w:rPr>
          <w:rFonts w:ascii="Times New Roman" w:hAnsi="Times New Roman"/>
          <w:b/>
          <w:bCs/>
          <w:i/>
          <w:sz w:val="20"/>
          <w:szCs w:val="20"/>
        </w:rPr>
      </w:pPr>
      <w:r>
        <w:rPr>
          <w:rFonts w:hint="eastAsia" w:ascii="Times New Roman" w:hAnsi="Times New Roman"/>
          <w:b/>
          <w:bCs/>
          <w:i/>
          <w:sz w:val="20"/>
          <w:szCs w:val="20"/>
          <w:lang w:eastAsia="zh-CN"/>
        </w:rPr>
        <w:t>SL-PRS configuration</w:t>
      </w:r>
    </w:p>
    <w:p>
      <w:pPr>
        <w:pStyle w:val="67"/>
        <w:numPr>
          <w:ilvl w:val="0"/>
          <w:numId w:val="9"/>
        </w:numPr>
        <w:adjustRightInd w:val="0"/>
        <w:snapToGrid w:val="0"/>
        <w:spacing w:before="156" w:beforeLines="50" w:after="156" w:afterLines="50" w:line="240" w:lineRule="auto"/>
        <w:ind w:left="840" w:leftChars="400" w:firstLine="402"/>
        <w:rPr>
          <w:rFonts w:ascii="Times New Roman" w:hAnsi="Times New Roman"/>
          <w:b/>
          <w:bCs/>
          <w:i/>
          <w:sz w:val="20"/>
          <w:szCs w:val="20"/>
        </w:rPr>
      </w:pPr>
      <w:r>
        <w:rPr>
          <w:rFonts w:ascii="Times New Roman" w:hAnsi="Times New Roman"/>
          <w:b/>
          <w:bCs/>
          <w:i/>
          <w:sz w:val="20"/>
          <w:szCs w:val="20"/>
          <w:lang w:eastAsia="zh-CN"/>
        </w:rPr>
        <w:t>Location calculation information</w:t>
      </w:r>
    </w:p>
    <w:p>
      <w:pPr>
        <w:pStyle w:val="67"/>
        <w:numPr>
          <w:ilvl w:val="0"/>
          <w:numId w:val="9"/>
        </w:numPr>
        <w:adjustRightInd w:val="0"/>
        <w:snapToGrid w:val="0"/>
        <w:spacing w:before="156" w:beforeLines="50" w:after="156" w:afterLines="50" w:line="240" w:lineRule="auto"/>
        <w:ind w:firstLine="402"/>
        <w:rPr>
          <w:rFonts w:ascii="Times New Roman" w:hAnsi="Times New Roman"/>
          <w:b/>
          <w:bCs/>
          <w:i/>
          <w:sz w:val="20"/>
          <w:szCs w:val="20"/>
        </w:rPr>
      </w:pPr>
      <w:r>
        <w:rPr>
          <w:rFonts w:ascii="Times New Roman" w:hAnsi="Times New Roman"/>
          <w:b/>
          <w:bCs/>
          <w:i/>
          <w:sz w:val="20"/>
          <w:szCs w:val="20"/>
        </w:rPr>
        <w:t>Positioning measurement report</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eastAsia="zh-CN"/>
        </w:rPr>
        <w:t xml:space="preserve">Basically there are three types of signalings need discussion: sidelink control signalings carried in PC5 referenec point (between UEs), sidelink control signalings carried in Uu reference point (between UE and NW) and sidelink control signalings carried in pre-configuration (acquired by UE’s higher layer). </w:t>
      </w:r>
      <w:r>
        <w:rPr>
          <w:rFonts w:ascii="Times New Roman" w:hAnsi="Times New Roman"/>
          <w:kern w:val="0"/>
          <w:sz w:val="20"/>
          <w:szCs w:val="20"/>
          <w:lang w:val="en-US" w:eastAsia="zh-CN"/>
        </w:rPr>
        <w:t>In this section, we focus on how to transmit these control signalings, and which layers should these control signalings carry on.</w:t>
      </w:r>
    </w:p>
    <w:p>
      <w:pPr>
        <w:pStyle w:val="4"/>
        <w:numPr>
          <w:ilvl w:val="2"/>
          <w:numId w:val="5"/>
        </w:numPr>
        <w:tabs>
          <w:tab w:val="clear" w:pos="720"/>
        </w:tabs>
        <w:snapToGrid w:val="0"/>
        <w:spacing w:before="156" w:beforeLines="50" w:after="156" w:afterLines="50" w:line="240" w:lineRule="auto"/>
        <w:rPr>
          <w:lang w:val="en-US" w:eastAsia="zh-CN"/>
        </w:rPr>
      </w:pPr>
      <w:r>
        <w:rPr>
          <w:rFonts w:hint="eastAsia"/>
          <w:lang w:val="en-US" w:eastAsia="zh-CN"/>
        </w:rPr>
        <w:t>PC5 reference point signaling</w:t>
      </w:r>
    </w:p>
    <w:p>
      <w:pPr>
        <w:pStyle w:val="5"/>
        <w:numPr>
          <w:ilvl w:val="2"/>
          <w:numId w:val="0"/>
        </w:numPr>
        <w:snapToGrid w:val="0"/>
        <w:spacing w:before="156" w:beforeLines="50" w:after="156" w:afterLines="50" w:line="240" w:lineRule="auto"/>
        <w:ind w:leftChars="0"/>
        <w:rPr>
          <w:sz w:val="22"/>
          <w:szCs w:val="24"/>
          <w:lang w:val="en-US" w:eastAsia="zh-CN"/>
        </w:rPr>
      </w:pPr>
      <w:r>
        <w:rPr>
          <w:rFonts w:hint="eastAsia"/>
          <w:sz w:val="22"/>
          <w:szCs w:val="24"/>
          <w:lang w:val="en-US" w:eastAsia="zh-CN"/>
        </w:rPr>
        <w:t xml:space="preserve">2.4.1.1 </w:t>
      </w:r>
      <w:r>
        <w:rPr>
          <w:sz w:val="22"/>
          <w:szCs w:val="24"/>
        </w:rPr>
        <w:t>Protocol stack</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PC5 reference point is the interface between two sidelink UEs.</w:t>
      </w:r>
      <w:r>
        <w:rPr>
          <w:rFonts w:hint="eastAsia" w:ascii="Times New Roman" w:hAnsi="Times New Roman"/>
          <w:kern w:val="0"/>
          <w:sz w:val="20"/>
          <w:szCs w:val="20"/>
          <w:lang w:val="en-US" w:eastAsia="zh-CN"/>
        </w:rPr>
        <w:t xml:space="preserve"> The existing control plane protocol stack of sidelink is specified in 38.300</w:t>
      </w:r>
      <w:r>
        <w:rPr>
          <w:rFonts w:ascii="Times New Roman" w:hAnsi="Times New Roman"/>
          <w:kern w:val="0"/>
          <w:sz w:val="20"/>
          <w:szCs w:val="20"/>
          <w:lang w:val="en-US" w:eastAsia="zh-CN"/>
        </w:rPr>
        <w:t xml:space="preserve"> [5]</w:t>
      </w:r>
      <w:r>
        <w:rPr>
          <w:rFonts w:hint="eastAsia" w:ascii="Times New Roman" w:hAnsi="Times New Roman"/>
          <w:kern w:val="0"/>
          <w:sz w:val="20"/>
          <w:szCs w:val="20"/>
          <w:lang w:val="en-US" w:eastAsia="zh-CN"/>
        </w:rPr>
        <w:t xml:space="preserve"> section 16.9.2.1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The AS protocol stack for the control plane for SCCH for RRC in the PC5 interface consists of RRC, PDCP, RLC and MAC sublayers, and the physical layer. The protocol stack of control plane for SCCH for RRC is shown in Figure 16.9.2.1-1.</w:t>
            </w:r>
          </w:p>
          <w:p>
            <w:pPr>
              <w:pStyle w:val="88"/>
              <w:adjustRightInd w:val="0"/>
              <w:snapToGrid w:val="0"/>
              <w:spacing w:before="156" w:beforeLines="50" w:after="156" w:afterLines="50" w:line="240" w:lineRule="auto"/>
            </w:pPr>
            <w:r>
              <w:pict>
                <v:shape id="_x0000_i1025" o:spt="75" type="#_x0000_t75" style="height:129.75pt;width:180.4pt;" filled="f" o:preferrelative="t" stroked="f" coordsize="21600,21600">
                  <v:path/>
                  <v:fill on="f" focussize="0,0"/>
                  <v:stroke on="f" joinstyle="miter"/>
                  <v:imagedata r:id="rId13" o:title=""/>
                  <o:lock v:ext="edit" aspectratio="t"/>
                  <w10:wrap type="none"/>
                  <w10:anchorlock/>
                </v:shape>
              </w:pict>
            </w:r>
          </w:p>
          <w:p>
            <w:pPr>
              <w:pStyle w:val="197"/>
              <w:snapToGrid w:val="0"/>
              <w:spacing w:before="156" w:beforeLines="50" w:after="156" w:afterLines="50" w:line="240" w:lineRule="auto"/>
              <w:rPr>
                <w:lang w:eastAsia="en-GB"/>
              </w:rPr>
            </w:pPr>
            <w:r>
              <w:t xml:space="preserve">Figure 16.9.2.1-1: </w:t>
            </w:r>
            <w:r>
              <w:rPr>
                <w:lang w:eastAsia="en-GB"/>
              </w:rPr>
              <w:t>Control plane protocol stack for SCCH for RRC.</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For support of PC5-S protocol specified in TS 23.287 [40], PC5-S is located on top of PDCP, RLC and MAC sublayers, and the physical layer in the control plane protocol stack for SCCH for PC5-S, as shown in Figure 16.9.2.1-2.</w:t>
            </w:r>
          </w:p>
          <w:p>
            <w:pPr>
              <w:pStyle w:val="88"/>
              <w:adjustRightInd w:val="0"/>
              <w:snapToGrid w:val="0"/>
              <w:spacing w:before="156" w:beforeLines="50" w:after="156" w:afterLines="50" w:line="240" w:lineRule="auto"/>
            </w:pPr>
            <w:r>
              <w:pict>
                <v:shape id="_x0000_i1026" o:spt="75" type="#_x0000_t75" style="height:129.75pt;width:181.5pt;" filled="f" o:preferrelative="t" stroked="f" coordsize="21600,21600">
                  <v:path/>
                  <v:fill on="f" focussize="0,0"/>
                  <v:stroke on="f" joinstyle="miter"/>
                  <v:imagedata r:id="rId14" o:title=""/>
                  <o:lock v:ext="edit" aspectratio="t"/>
                  <w10:wrap type="none"/>
                  <w10:anchorlock/>
                </v:shape>
              </w:pict>
            </w:r>
          </w:p>
          <w:p>
            <w:pPr>
              <w:pStyle w:val="197"/>
              <w:snapToGrid w:val="0"/>
              <w:spacing w:before="156" w:beforeLines="50" w:after="156" w:afterLines="50" w:line="240" w:lineRule="auto"/>
              <w:rPr>
                <w:rFonts w:ascii="Times New Roman" w:hAnsi="Times New Roman"/>
                <w:lang w:val="en-US" w:eastAsia="zh-CN"/>
              </w:rPr>
            </w:pPr>
            <w:r>
              <w:t xml:space="preserve">Figure 16.9.2.1-2: </w:t>
            </w:r>
            <w:r>
              <w:rPr>
                <w:lang w:eastAsia="en-GB"/>
              </w:rPr>
              <w:t>Control plane protocol stack for SCCH for PC5-S.</w:t>
            </w:r>
          </w:p>
        </w:tc>
      </w:tr>
    </w:tbl>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We can see that for general sidelink transmission, the higher layer (beyond PDCP) between UEs contains PC5-S and RRC (which is also called PC5-RRC). Basically, SL discovery and link set up procedure are conveyed by PC5-S, and radio resource allocation (e.g., reference signal configuration, report configuration, etc.) is conveyed by PC5-RRC. Similarly, the sidelink positioning control signaling can also be carried within the PC5-S signaling and/or PC5-RRC signaling. Furthermore in 23.700-86 [6], SA2 has put up solution 4 which is to suggest adding a new logical layer between UEs just like LPP layer in the Uu interface, and the reference structure of the RSPP (Ranging and Sidelink Positioning Protocol) is as follows:</w:t>
      </w:r>
    </w:p>
    <w:p>
      <w:pPr>
        <w:jc w:val="center"/>
        <w:rPr>
          <w:rFonts w:ascii="Times New Roman" w:hAnsi="Times New Roman" w:eastAsia="宋体"/>
          <w:kern w:val="0"/>
          <w:sz w:val="24"/>
          <w:szCs w:val="24"/>
          <w:lang w:val="en-US" w:eastAsia="zh-CN"/>
        </w:rPr>
      </w:pPr>
      <w:r>
        <w:rPr>
          <w:lang w:val="en-US" w:eastAsia="zh-CN"/>
        </w:rPr>
        <w:drawing>
          <wp:inline distT="0" distB="0" distL="0" distR="0">
            <wp:extent cx="3764280" cy="2627630"/>
            <wp:effectExtent l="0" t="0" r="7620" b="0"/>
            <wp:docPr id="1" name="图片 1" descr="C:\Users\00255772\AppData\Local\Temp\ksohtml1322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55772\AppData\Local\Temp\ksohtml13220\wps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764874" cy="2628000"/>
                    </a:xfrm>
                    <a:prstGeom prst="rect">
                      <a:avLst/>
                    </a:prstGeom>
                    <a:noFill/>
                    <a:ln>
                      <a:noFill/>
                    </a:ln>
                  </pic:spPr>
                </pic:pic>
              </a:graphicData>
            </a:graphic>
          </wp:inline>
        </w:drawing>
      </w:r>
    </w:p>
    <w:p>
      <w:pPr>
        <w:adjustRightInd w:val="0"/>
        <w:snapToGrid w:val="0"/>
        <w:spacing w:before="156" w:beforeLines="50" w:after="156" w:afterLines="50" w:line="240" w:lineRule="auto"/>
        <w:jc w:val="center"/>
        <w:rPr>
          <w:rFonts w:ascii="Times New Roman" w:hAnsi="Times New Roman"/>
          <w:kern w:val="0"/>
          <w:sz w:val="20"/>
          <w:szCs w:val="20"/>
          <w:lang w:val="en-US" w:eastAsia="zh-CN"/>
        </w:rPr>
      </w:pPr>
      <w:r>
        <w:rPr>
          <w:rFonts w:ascii="Times New Roman" w:hAnsi="Times New Roman"/>
          <w:kern w:val="0"/>
          <w:sz w:val="20"/>
          <w:szCs w:val="20"/>
          <w:lang w:val="en-US" w:eastAsia="zh-CN"/>
        </w:rPr>
        <w:t>F</w:t>
      </w:r>
      <w:r>
        <w:rPr>
          <w:rFonts w:hint="eastAsia" w:ascii="Times New Roman" w:hAnsi="Times New Roman"/>
          <w:kern w:val="0"/>
          <w:sz w:val="20"/>
          <w:szCs w:val="20"/>
          <w:lang w:val="en-US" w:eastAsia="zh-CN"/>
        </w:rPr>
        <w:t xml:space="preserve">igure </w:t>
      </w:r>
      <w:r>
        <w:rPr>
          <w:rFonts w:ascii="Times New Roman" w:hAnsi="Times New Roman"/>
          <w:kern w:val="0"/>
          <w:sz w:val="20"/>
          <w:szCs w:val="20"/>
          <w:lang w:val="en-US" w:eastAsia="zh-CN"/>
        </w:rPr>
        <w:t>5. Ranging/sidelink Positioning protocol over PC5 reference point</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In the figure 5 that SA2 provides, it is to set RSPP beyond the UE’s PC5-S layer and take it as a NAS layer, then the RSPP signaling may be transparent and in a container to the AS layer. We think</w:t>
      </w:r>
      <w:r>
        <w:rPr>
          <w:rFonts w:hint="eastAsia" w:ascii="Times New Roman" w:hAnsi="Times New Roman"/>
          <w:kern w:val="0"/>
          <w:sz w:val="20"/>
          <w:szCs w:val="20"/>
          <w:lang w:val="en-US" w:eastAsia="zh-CN"/>
        </w:rPr>
        <w:t xml:space="preserve"> introducing</w:t>
      </w:r>
      <w:r>
        <w:rPr>
          <w:rFonts w:ascii="Times New Roman" w:hAnsi="Times New Roman"/>
          <w:kern w:val="0"/>
          <w:sz w:val="20"/>
          <w:szCs w:val="20"/>
          <w:lang w:val="en-US" w:eastAsia="zh-CN"/>
        </w:rPr>
        <w:t xml:space="preserve"> the RSPP layer is good for the further extension of sidelink positioning function. Thus, RSPP, PC5-S and PC5-RRC can be options to carry the control signaling of sidelink positioning. To be specific, capability transfer is to let UEs save/remember the context of other UEs without asking constantly, so it does not necessary to process in AS layer. Furthermore, the position calculation function may only exist in NAS layer rather than AS layer, so measurement report should be sent to NAS layer for processing. Therefore, capability transfer and measurement report should be conveyed by NAS layer, which are better embedded in RSPP layer as it is dedicated for sidelink positioning. </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For assistance data transfer, things may be different. The assistance data contains two major components: assistance data for UE location calculation (e.g. other anchor UE’s coordinates) and SL-PRS configuration. The former component can also be transmitted by NAS layer since it will not change so fast with time. For the second component, if SL-PRS configuration comes from gNB for mode 1 UE, or comes from pre-configuration for mode 2 UE, then UE’s RRC layer will save and process this SL-PRS configuration. under this case if only RSPP layer can deliver the SL-PRS configuration, UE’s RRC/PC5-RRC layer may have to send SL-PRS configuration it acquires to the NAS layer, then to the other UE, which is not a normal design and will cause unnecessary signaling between UE’s </w:t>
      </w:r>
      <w:r>
        <w:rPr>
          <w:rFonts w:hint="eastAsia" w:ascii="Times New Roman" w:hAnsi="Times New Roman"/>
          <w:kern w:val="0"/>
          <w:sz w:val="20"/>
          <w:szCs w:val="20"/>
          <w:lang w:val="en-US" w:eastAsia="zh-CN"/>
        </w:rPr>
        <w:t xml:space="preserve">different </w:t>
      </w:r>
      <w:r>
        <w:rPr>
          <w:rFonts w:ascii="Times New Roman" w:hAnsi="Times New Roman"/>
          <w:kern w:val="0"/>
          <w:sz w:val="20"/>
          <w:szCs w:val="20"/>
          <w:lang w:val="en-US" w:eastAsia="zh-CN"/>
        </w:rPr>
        <w:t>layers. Therefore, we think for SL-PRS configuration interaction between UEs, one possible way is to convey SL-PRS by PC5-RRC.</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Observation 1: RSPP, PC5-S and PC5-RRC can be options to carry the control signaling of sidelink positioning.</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Proposal 5: In sidelink positioning between UEs, support to convey capability interaction, anchor UE location interaction and measurement report by NAS layer, i.e., RSPP message. </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6: In sidelink positioning between UEs, support to convey SL-PRS configuration by AS layer, i.e., PC5-RRC signaling.</w:t>
      </w:r>
    </w:p>
    <w:p>
      <w:pPr>
        <w:pStyle w:val="5"/>
        <w:numPr>
          <w:ilvl w:val="2"/>
          <w:numId w:val="0"/>
        </w:numPr>
        <w:snapToGrid w:val="0"/>
        <w:spacing w:before="156" w:beforeLines="50" w:after="156" w:afterLines="50" w:line="240" w:lineRule="auto"/>
        <w:ind w:leftChars="0"/>
        <w:rPr>
          <w:sz w:val="22"/>
          <w:szCs w:val="24"/>
          <w:lang w:val="en-US" w:eastAsia="zh-CN"/>
        </w:rPr>
      </w:pPr>
      <w:r>
        <w:rPr>
          <w:rFonts w:hint="eastAsia"/>
          <w:sz w:val="22"/>
          <w:szCs w:val="24"/>
          <w:lang w:val="en-US" w:eastAsia="zh-CN"/>
        </w:rPr>
        <w:t>2.4.1.2</w:t>
      </w:r>
      <w:r>
        <w:rPr>
          <w:sz w:val="22"/>
          <w:szCs w:val="24"/>
        </w:rPr>
        <w:t xml:space="preserve"> Cast type</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In Rel-17, sidelink communication supports broadcast, groupcast and unicast. The NAS and AS layer control signaling are finally conveyed by PSSCH, therefore it is worth to discuss the possible cast type of different signalings from different layers. We think capability transfer can be broadcast, groupcast or unicast to suit different scenarios, for example at the beginning of D2D discovery, target UE’s capability may be broadcast or groupcast; for a pair of UEs that already have V2X unicast link, capability transfer via RSPP/PC5 signaling can be unicast. For measurement report, we think at least unicast is necessary because location information is privacy data of a UE. For assistance data exclude SL-PRS configuration, it is possible to use broadcast, groupcast or unicast, because the anchor UE’s location can be seen as a common information and is no harm to be known by other neighbor UEs; If the SL-PRS configuration is conveyed in PC5-RRC, that means it at least supports unicast. However, considering the case that out of coverage UE will need to sense neighbor UE’s PRS configuration if periodic SL-PRS is supported, the SL-PRS configuration should also support broadcast or groupcast. </w:t>
      </w:r>
    </w:p>
    <w:p>
      <w:pPr>
        <w:adjustRightInd w:val="0"/>
        <w:snapToGrid w:val="0"/>
        <w:spacing w:before="156" w:beforeLines="50" w:after="156" w:afterLines="50" w:line="240" w:lineRule="auto"/>
        <w:jc w:val="center"/>
        <w:rPr>
          <w:rFonts w:ascii="Times New Roman" w:hAnsi="Times New Roman"/>
          <w:kern w:val="0"/>
          <w:sz w:val="20"/>
          <w:szCs w:val="20"/>
          <w:lang w:val="en-US" w:eastAsia="zh-CN"/>
        </w:rPr>
      </w:pPr>
      <w:r>
        <w:rPr>
          <w:rFonts w:ascii="Times New Roman" w:hAnsi="Times New Roman"/>
          <w:kern w:val="0"/>
          <w:sz w:val="20"/>
          <w:szCs w:val="20"/>
          <w:lang w:val="en-US" w:eastAsia="zh-CN"/>
        </w:rPr>
        <w:t>Table 1. Suggested cast type of different SL positioning control signaling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1803"/>
        <w:gridCol w:w="1803"/>
        <w:gridCol w:w="1803"/>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C</w:t>
            </w:r>
            <w:r>
              <w:rPr>
                <w:rFonts w:hint="eastAsia" w:ascii="Times New Roman" w:hAnsi="Times New Roman"/>
                <w:kern w:val="0"/>
                <w:sz w:val="20"/>
                <w:szCs w:val="20"/>
                <w:lang w:val="en-US" w:eastAsia="zh-CN"/>
              </w:rPr>
              <w:t xml:space="preserve">apability </w:t>
            </w:r>
            <w:r>
              <w:rPr>
                <w:rFonts w:ascii="Times New Roman" w:hAnsi="Times New Roman"/>
                <w:kern w:val="0"/>
                <w:sz w:val="20"/>
                <w:szCs w:val="20"/>
                <w:lang w:val="en-US" w:eastAsia="zh-CN"/>
              </w:rPr>
              <w:t>interaction</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M</w:t>
            </w:r>
            <w:r>
              <w:rPr>
                <w:rFonts w:hint="eastAsia" w:ascii="Times New Roman" w:hAnsi="Times New Roman"/>
                <w:kern w:val="0"/>
                <w:sz w:val="20"/>
                <w:szCs w:val="20"/>
                <w:lang w:val="en-US" w:eastAsia="zh-CN"/>
              </w:rPr>
              <w:t xml:space="preserve">easurement </w:t>
            </w:r>
            <w:r>
              <w:rPr>
                <w:rFonts w:ascii="Times New Roman" w:hAnsi="Times New Roman"/>
                <w:kern w:val="0"/>
                <w:sz w:val="20"/>
                <w:szCs w:val="20"/>
                <w:lang w:val="en-US" w:eastAsia="zh-CN"/>
              </w:rPr>
              <w:t>report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A</w:t>
            </w:r>
            <w:r>
              <w:rPr>
                <w:rFonts w:hint="eastAsia" w:ascii="Times New Roman" w:hAnsi="Times New Roman"/>
                <w:kern w:val="0"/>
                <w:sz w:val="20"/>
                <w:szCs w:val="20"/>
                <w:lang w:val="en-US" w:eastAsia="zh-CN"/>
              </w:rPr>
              <w:t xml:space="preserve">ssistance </w:t>
            </w:r>
            <w:r>
              <w:rPr>
                <w:rFonts w:ascii="Times New Roman" w:hAnsi="Times New Roman"/>
                <w:kern w:val="0"/>
                <w:sz w:val="20"/>
                <w:szCs w:val="20"/>
                <w:lang w:val="en-US" w:eastAsia="zh-CN"/>
              </w:rPr>
              <w:t>data interaction (exclude SL-PRS configuration)</w:t>
            </w:r>
          </w:p>
        </w:tc>
        <w:tc>
          <w:tcPr>
            <w:tcW w:w="1804"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SL-PRS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B</w:t>
            </w:r>
            <w:r>
              <w:rPr>
                <w:rFonts w:hint="eastAsia" w:ascii="Times New Roman" w:hAnsi="Times New Roman"/>
                <w:kern w:val="0"/>
                <w:sz w:val="20"/>
                <w:szCs w:val="20"/>
                <w:lang w:val="en-US" w:eastAsia="zh-CN"/>
              </w:rPr>
              <w:t>roadcast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4"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groupcast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4"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unicast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3"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c>
          <w:tcPr>
            <w:tcW w:w="1804"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heme="minorEastAsia" w:hAnsiTheme="minorEastAsia"/>
                <w:kern w:val="0"/>
                <w:sz w:val="20"/>
                <w:szCs w:val="20"/>
                <w:lang w:val="en-US" w:eastAsia="zh-CN"/>
              </w:rPr>
              <w:t>√</w:t>
            </w:r>
          </w:p>
        </w:tc>
      </w:tr>
    </w:tbl>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w:t>
      </w:r>
      <w:r>
        <w:rPr>
          <w:rFonts w:hint="eastAsia" w:ascii="Times New Roman" w:hAnsi="Times New Roman"/>
          <w:b/>
          <w:i/>
          <w:kern w:val="0"/>
          <w:sz w:val="20"/>
          <w:szCs w:val="20"/>
          <w:lang w:val="en-US" w:eastAsia="zh-CN"/>
        </w:rPr>
        <w:t xml:space="preserve">roposal </w:t>
      </w:r>
      <w:r>
        <w:rPr>
          <w:rFonts w:ascii="Times New Roman" w:hAnsi="Times New Roman"/>
          <w:b/>
          <w:i/>
          <w:kern w:val="0"/>
          <w:sz w:val="20"/>
          <w:szCs w:val="20"/>
          <w:lang w:val="en-US" w:eastAsia="zh-CN"/>
        </w:rPr>
        <w:t>7: In Rel-18 sidelink positioning, support RAN2 to consider the cast type of capability interaction, measurement report and assistance data interaction.</w:t>
      </w:r>
    </w:p>
    <w:p>
      <w:pPr>
        <w:pStyle w:val="4"/>
        <w:numPr>
          <w:ilvl w:val="2"/>
          <w:numId w:val="5"/>
        </w:numPr>
        <w:tabs>
          <w:tab w:val="clear" w:pos="720"/>
        </w:tabs>
        <w:snapToGrid w:val="0"/>
        <w:spacing w:before="156" w:beforeLines="50" w:after="156" w:afterLines="50" w:line="240" w:lineRule="auto"/>
        <w:jc w:val="both"/>
        <w:rPr>
          <w:lang w:val="en-US" w:eastAsia="zh-CN"/>
        </w:rPr>
      </w:pPr>
      <w:r>
        <w:rPr>
          <w:rFonts w:hint="eastAsia"/>
          <w:lang w:val="en-US" w:eastAsia="zh-CN"/>
        </w:rPr>
        <w:t>Uu reference point signaling</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As analysed in section 2.1, the hybrid of PC5-based and Uu-based positioning should be supported for in/partial coverage UEs. However in Rel-17 Uu-based positioning signalings, there is no information to support PC5-based sidelink positioning. Thus, considering the method combination, original Uu positioning needs to add some signalings to support sidelink positioning. To be specific, </w:t>
      </w:r>
      <w:r>
        <w:rPr>
          <w:rFonts w:hint="eastAsia" w:ascii="Times New Roman" w:hAnsi="Times New Roman"/>
          <w:kern w:val="0"/>
          <w:sz w:val="20"/>
          <w:szCs w:val="20"/>
          <w:lang w:val="en-US" w:eastAsia="zh-CN"/>
        </w:rPr>
        <w:t>some</w:t>
      </w:r>
      <w:r>
        <w:rPr>
          <w:rFonts w:ascii="Times New Roman" w:hAnsi="Times New Roman"/>
          <w:kern w:val="0"/>
          <w:sz w:val="20"/>
          <w:szCs w:val="20"/>
          <w:lang w:val="en-US" w:eastAsia="zh-CN"/>
        </w:rPr>
        <w:t xml:space="preserve"> sidelink-related signalings </w:t>
      </w:r>
      <w:r>
        <w:rPr>
          <w:rFonts w:hint="eastAsia" w:ascii="Times New Roman" w:hAnsi="Times New Roman"/>
          <w:kern w:val="0"/>
          <w:sz w:val="20"/>
          <w:szCs w:val="20"/>
          <w:lang w:val="en-US" w:eastAsia="zh-CN"/>
        </w:rPr>
        <w:t xml:space="preserve">we suggest to add </w:t>
      </w:r>
      <w:r>
        <w:rPr>
          <w:rFonts w:ascii="Times New Roman" w:hAnsi="Times New Roman"/>
          <w:kern w:val="0"/>
          <w:sz w:val="20"/>
          <w:szCs w:val="20"/>
          <w:lang w:val="en-US" w:eastAsia="zh-CN"/>
        </w:rPr>
        <w:t>in the LPP and RRC signalings are given as following sub-session.</w:t>
      </w:r>
    </w:p>
    <w:p>
      <w:pPr>
        <w:pStyle w:val="5"/>
        <w:numPr>
          <w:ilvl w:val="2"/>
          <w:numId w:val="0"/>
        </w:numPr>
        <w:snapToGrid w:val="0"/>
        <w:spacing w:before="156" w:beforeLines="50" w:after="156" w:afterLines="50" w:line="240" w:lineRule="auto"/>
        <w:ind w:leftChars="0"/>
        <w:rPr>
          <w:rFonts w:hint="eastAsia" w:ascii="Arial" w:hAnsi="Arial" w:eastAsia="MS Mincho" w:cs="Times New Roman"/>
          <w:b/>
          <w:bCs/>
          <w:kern w:val="0"/>
          <w:sz w:val="22"/>
          <w:szCs w:val="28"/>
          <w:lang w:val="en-US" w:eastAsia="zh-CN" w:bidi="ar-SA"/>
        </w:rPr>
      </w:pPr>
      <w:r>
        <w:rPr>
          <w:rFonts w:hint="eastAsia" w:ascii="Arial" w:hAnsi="Arial" w:eastAsia="MS Mincho" w:cs="Times New Roman"/>
          <w:b/>
          <w:bCs/>
          <w:kern w:val="0"/>
          <w:sz w:val="22"/>
          <w:szCs w:val="28"/>
          <w:lang w:val="en-US" w:eastAsia="zh-CN" w:bidi="ar-SA"/>
        </w:rPr>
        <w:t>2.4.2.1 LPP signaling</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T</w:t>
      </w:r>
      <w:r>
        <w:rPr>
          <w:rFonts w:hint="eastAsia" w:ascii="Times New Roman" w:hAnsi="Times New Roman"/>
          <w:kern w:val="0"/>
          <w:sz w:val="20"/>
          <w:szCs w:val="20"/>
          <w:lang w:val="en-US" w:eastAsia="zh-CN"/>
        </w:rPr>
        <w:t xml:space="preserve">he </w:t>
      </w:r>
      <w:r>
        <w:rPr>
          <w:rFonts w:ascii="Times New Roman" w:hAnsi="Times New Roman"/>
          <w:kern w:val="0"/>
          <w:sz w:val="20"/>
          <w:szCs w:val="20"/>
          <w:lang w:val="en-US" w:eastAsia="zh-CN"/>
        </w:rPr>
        <w:t xml:space="preserve">possible/informative sidelink signaling needs to be introduced in Uu-based LPP signaling: </w:t>
      </w:r>
    </w:p>
    <w:p>
      <w:pPr>
        <w:pStyle w:val="67"/>
        <w:numPr>
          <w:ilvl w:val="1"/>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RequestCapabilities</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LMF can request in/partial coverage UEs to report sidelink PRS transmitting/processing capability or sidelink location calculation capability, and requesting structure can be same as Uu signaling, i.e., request per sidelink positioning method.</w:t>
      </w:r>
    </w:p>
    <w:p>
      <w:pPr>
        <w:pStyle w:val="67"/>
        <w:numPr>
          <w:ilvl w:val="1"/>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ProvideCapabilities</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n/partial coverage UEs </w:t>
      </w:r>
      <w:r>
        <w:rPr>
          <w:rFonts w:ascii="Times New Roman" w:hAnsi="Times New Roman"/>
          <w:kern w:val="0"/>
          <w:sz w:val="20"/>
          <w:szCs w:val="20"/>
          <w:lang w:val="en-US" w:eastAsia="zh-CN"/>
        </w:rPr>
        <w:t>can report sidelink PRS transmitting/processing capability or sidelink location calculation capability to the LMF via LPP. Reporting structure can be same as Uu signaling, i.e., report per sidelink positioning method.</w:t>
      </w:r>
    </w:p>
    <w:p>
      <w:pPr>
        <w:pStyle w:val="67"/>
        <w:numPr>
          <w:ilvl w:val="1"/>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RequestAssistanceData</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n/partial coverage UEs</w:t>
      </w:r>
      <w:r>
        <w:rPr>
          <w:rFonts w:ascii="Times New Roman" w:hAnsi="Times New Roman"/>
          <w:kern w:val="0"/>
          <w:sz w:val="20"/>
          <w:szCs w:val="20"/>
          <w:lang w:val="en-US" w:eastAsia="zh-CN"/>
        </w:rPr>
        <w:t xml:space="preserve"> can request LMF to provide location calculation assistance data (e.g. anchor UE’s location, etc) of the anchor UEs which are in a same sidelink positioning session. For each sidelink positioning method, the location calculation assistance data should be the same. </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Note: </w:t>
      </w:r>
      <w:r>
        <w:rPr>
          <w:rFonts w:hint="eastAsia" w:ascii="Times New Roman" w:hAnsi="Times New Roman"/>
          <w:kern w:val="0"/>
          <w:sz w:val="20"/>
          <w:szCs w:val="20"/>
          <w:lang w:val="en-US" w:eastAsia="zh-CN"/>
        </w:rPr>
        <w:t xml:space="preserve">For </w:t>
      </w:r>
      <w:r>
        <w:rPr>
          <w:rFonts w:ascii="Times New Roman" w:hAnsi="Times New Roman"/>
          <w:kern w:val="0"/>
          <w:sz w:val="20"/>
          <w:szCs w:val="20"/>
          <w:lang w:val="en-US" w:eastAsia="zh-CN"/>
        </w:rPr>
        <w:t>in/partial coverage target UE and anchor UEs</w:t>
      </w:r>
      <w:r>
        <w:rPr>
          <w:rFonts w:hint="eastAsia" w:ascii="Times New Roman" w:hAnsi="Times New Roman"/>
          <w:kern w:val="0"/>
          <w:sz w:val="20"/>
          <w:szCs w:val="20"/>
          <w:lang w:val="en-US" w:eastAsia="zh-CN"/>
        </w:rPr>
        <w:t>, SL-PRS configuration may be configured and distributed by serving gNB rather than LMF</w:t>
      </w:r>
      <w:r>
        <w:rPr>
          <w:rFonts w:ascii="Times New Roman" w:hAnsi="Times New Roman"/>
          <w:kern w:val="0"/>
          <w:sz w:val="20"/>
          <w:szCs w:val="20"/>
          <w:lang w:val="en-US" w:eastAsia="zh-CN"/>
        </w:rPr>
        <w:t xml:space="preserve"> because </w:t>
      </w:r>
      <w:r>
        <w:rPr>
          <w:rFonts w:hint="eastAsia" w:ascii="Times New Roman" w:hAnsi="Times New Roman"/>
          <w:kern w:val="0"/>
          <w:sz w:val="20"/>
          <w:szCs w:val="20"/>
          <w:lang w:val="en-US" w:eastAsia="zh-CN"/>
        </w:rPr>
        <w:t>these UEs</w:t>
      </w:r>
      <w:r>
        <w:rPr>
          <w:rFonts w:ascii="Times New Roman" w:hAnsi="Times New Roman"/>
          <w:kern w:val="0"/>
          <w:sz w:val="20"/>
          <w:szCs w:val="20"/>
          <w:lang w:val="en-US" w:eastAsia="zh-CN"/>
        </w:rPr>
        <w:t xml:space="preserve"> will have their corresponding serving gNB</w:t>
      </w:r>
      <w:r>
        <w:rPr>
          <w:rFonts w:hint="eastAsia" w:ascii="Times New Roman" w:hAnsi="Times New Roman"/>
          <w:kern w:val="0"/>
          <w:sz w:val="20"/>
          <w:szCs w:val="20"/>
          <w:lang w:val="en-US" w:eastAsia="zh-CN"/>
        </w:rPr>
        <w:t>s</w:t>
      </w:r>
      <w:r>
        <w:rPr>
          <w:rFonts w:ascii="Times New Roman" w:hAnsi="Times New Roman"/>
          <w:kern w:val="0"/>
          <w:sz w:val="20"/>
          <w:szCs w:val="20"/>
          <w:lang w:val="en-US" w:eastAsia="zh-CN"/>
        </w:rPr>
        <w:t xml:space="preserve">, so LMF does not need to gather all TRP/gNB’s PRS configuration like </w:t>
      </w:r>
      <w:r>
        <w:rPr>
          <w:rFonts w:hint="eastAsia" w:ascii="Times New Roman" w:hAnsi="Times New Roman"/>
          <w:kern w:val="0"/>
          <w:sz w:val="20"/>
          <w:szCs w:val="20"/>
          <w:lang w:val="en-US" w:eastAsia="zh-CN"/>
        </w:rPr>
        <w:t xml:space="preserve">the way </w:t>
      </w:r>
      <w:r>
        <w:rPr>
          <w:rFonts w:ascii="Times New Roman" w:hAnsi="Times New Roman"/>
          <w:kern w:val="0"/>
          <w:sz w:val="20"/>
          <w:szCs w:val="20"/>
          <w:lang w:val="en-US" w:eastAsia="zh-CN"/>
        </w:rPr>
        <w:t>in Uu positioning.</w:t>
      </w:r>
    </w:p>
    <w:p>
      <w:pPr>
        <w:pStyle w:val="67"/>
        <w:numPr>
          <w:ilvl w:val="1"/>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ProvideAssistanceData</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LMF </w:t>
      </w:r>
      <w:r>
        <w:rPr>
          <w:rFonts w:ascii="Times New Roman" w:hAnsi="Times New Roman"/>
          <w:kern w:val="0"/>
          <w:sz w:val="20"/>
          <w:szCs w:val="20"/>
          <w:lang w:val="en-US" w:eastAsia="zh-CN"/>
        </w:rPr>
        <w:t>sends location calculation assistance data of the anchor UEs which are in a same sidelink positioning session to the UE.</w:t>
      </w:r>
    </w:p>
    <w:p>
      <w:pPr>
        <w:pStyle w:val="67"/>
        <w:numPr>
          <w:ilvl w:val="1"/>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RequestLocationInformation</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If for MT-LR case and core network determines in/partial coverage UE to perform sidelink positioning, LMF will send RequestLocationInformation to also request </w:t>
      </w:r>
      <w:r>
        <w:rPr>
          <w:rFonts w:hint="eastAsia" w:ascii="Times New Roman" w:hAnsi="Times New Roman"/>
          <w:kern w:val="0"/>
          <w:sz w:val="20"/>
          <w:szCs w:val="20"/>
          <w:lang w:val="en-US" w:eastAsia="zh-CN"/>
        </w:rPr>
        <w:t xml:space="preserve">explicit </w:t>
      </w:r>
      <w:r>
        <w:rPr>
          <w:rFonts w:ascii="Times New Roman" w:hAnsi="Times New Roman"/>
          <w:kern w:val="0"/>
          <w:sz w:val="20"/>
          <w:szCs w:val="20"/>
          <w:lang w:val="en-US" w:eastAsia="zh-CN"/>
        </w:rPr>
        <w:t xml:space="preserve">sidelink positioning </w:t>
      </w:r>
      <w:r>
        <w:rPr>
          <w:rFonts w:hint="eastAsia" w:ascii="Times New Roman" w:hAnsi="Times New Roman"/>
          <w:kern w:val="0"/>
          <w:sz w:val="20"/>
          <w:szCs w:val="20"/>
          <w:lang w:val="en-US" w:eastAsia="zh-CN"/>
        </w:rPr>
        <w:t xml:space="preserve">method(s) and corresponding </w:t>
      </w:r>
      <w:r>
        <w:rPr>
          <w:rFonts w:ascii="Times New Roman" w:hAnsi="Times New Roman"/>
          <w:kern w:val="0"/>
          <w:sz w:val="20"/>
          <w:szCs w:val="20"/>
          <w:lang w:val="en-US" w:eastAsia="zh-CN"/>
        </w:rPr>
        <w:t>measurements. Requesting structure can be same as Uu signaling, i.e., request per sidelink positioning method.</w:t>
      </w:r>
    </w:p>
    <w:p>
      <w:pPr>
        <w:pStyle w:val="67"/>
        <w:numPr>
          <w:ilvl w:val="1"/>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ProvideLocationInforamtion </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n/partial coverage UEs </w:t>
      </w:r>
      <w:r>
        <w:rPr>
          <w:rFonts w:ascii="Times New Roman" w:hAnsi="Times New Roman"/>
          <w:kern w:val="0"/>
          <w:sz w:val="20"/>
          <w:szCs w:val="20"/>
          <w:lang w:val="en-US" w:eastAsia="zh-CN"/>
        </w:rPr>
        <w:t>report its sidelink positioning measurement or calculated location to the LMF according to the request. Reporting structure can be same as Uu signaling, i.e., report per sidelink positioning method.</w:t>
      </w:r>
    </w:p>
    <w:p>
      <w:pPr>
        <w:pStyle w:val="5"/>
        <w:numPr>
          <w:ilvl w:val="2"/>
          <w:numId w:val="0"/>
        </w:numPr>
        <w:snapToGrid w:val="0"/>
        <w:spacing w:before="156" w:beforeLines="50" w:after="156" w:afterLines="50" w:line="240" w:lineRule="auto"/>
        <w:ind w:leftChars="0"/>
        <w:rPr>
          <w:b/>
          <w:bCs/>
          <w:sz w:val="22"/>
          <w:szCs w:val="22"/>
          <w:lang w:val="en-US" w:eastAsia="zh-CN"/>
        </w:rPr>
      </w:pPr>
      <w:r>
        <w:rPr>
          <w:rFonts w:hint="eastAsia"/>
          <w:b/>
          <w:bCs/>
          <w:sz w:val="22"/>
          <w:szCs w:val="22"/>
          <w:lang w:val="en-US" w:eastAsia="zh-CN"/>
        </w:rPr>
        <w:t xml:space="preserve">2.4.2.2 </w:t>
      </w:r>
      <w:r>
        <w:rPr>
          <w:b/>
          <w:bCs/>
          <w:sz w:val="22"/>
          <w:szCs w:val="22"/>
          <w:lang w:val="en-US" w:eastAsia="zh-CN"/>
        </w:rPr>
        <w:t>RRC</w:t>
      </w:r>
      <w:r>
        <w:rPr>
          <w:rFonts w:hint="eastAsia"/>
          <w:b/>
          <w:bCs/>
          <w:sz w:val="22"/>
          <w:szCs w:val="22"/>
          <w:lang w:val="en-US" w:eastAsia="zh-CN"/>
        </w:rPr>
        <w:t xml:space="preserve"> signaling</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T</w:t>
      </w:r>
      <w:r>
        <w:rPr>
          <w:rFonts w:hint="eastAsia" w:ascii="Times New Roman" w:hAnsi="Times New Roman"/>
          <w:kern w:val="0"/>
          <w:sz w:val="20"/>
          <w:szCs w:val="20"/>
          <w:lang w:val="en-US" w:eastAsia="zh-CN"/>
        </w:rPr>
        <w:t xml:space="preserve">he </w:t>
      </w:r>
      <w:r>
        <w:rPr>
          <w:rFonts w:ascii="Times New Roman" w:hAnsi="Times New Roman"/>
          <w:kern w:val="0"/>
          <w:sz w:val="20"/>
          <w:szCs w:val="20"/>
          <w:lang w:val="en-US" w:eastAsia="zh-CN"/>
        </w:rPr>
        <w:t xml:space="preserve">possible/informative sidelink signaling needs to be introduced in Uu-based RRC signaling: </w:t>
      </w:r>
    </w:p>
    <w:p>
      <w:pPr>
        <w:pStyle w:val="67"/>
        <w:numPr>
          <w:ilvl w:val="1"/>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UL RRC message to request SL-PRS configuration</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n/partial coverage UEs can</w:t>
      </w:r>
      <w:r>
        <w:rPr>
          <w:rFonts w:ascii="Times New Roman" w:hAnsi="Times New Roman"/>
          <w:kern w:val="0"/>
          <w:sz w:val="20"/>
          <w:szCs w:val="20"/>
          <w:lang w:val="en-US" w:eastAsia="zh-CN"/>
        </w:rPr>
        <w:t xml:space="preserve"> request serving gNB to configure transmitting SL-PRS configuration. This is especially for mode 1 UE.</w:t>
      </w:r>
    </w:p>
    <w:p>
      <w:pPr>
        <w:pStyle w:val="67"/>
        <w:numPr>
          <w:ilvl w:val="1"/>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DL RRC message to provide SL-PRS configuration</w:t>
      </w:r>
    </w:p>
    <w:p>
      <w:pPr>
        <w:pStyle w:val="67"/>
        <w:numPr>
          <w:ilvl w:val="2"/>
          <w:numId w:val="10"/>
        </w:numPr>
        <w:adjustRightInd w:val="0"/>
        <w:snapToGrid w:val="0"/>
        <w:spacing w:before="156" w:beforeLines="50" w:after="156" w:afterLines="50" w:line="240" w:lineRule="auto"/>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Serving gNB </w:t>
      </w:r>
      <w:r>
        <w:rPr>
          <w:rFonts w:hint="eastAsia" w:ascii="Times New Roman" w:hAnsi="Times New Roman"/>
          <w:kern w:val="0"/>
          <w:sz w:val="20"/>
          <w:szCs w:val="20"/>
          <w:lang w:val="en-US" w:eastAsia="zh-CN"/>
        </w:rPr>
        <w:t>can send</w:t>
      </w:r>
      <w:r>
        <w:rPr>
          <w:rFonts w:ascii="Times New Roman" w:hAnsi="Times New Roman"/>
          <w:kern w:val="0"/>
          <w:sz w:val="20"/>
          <w:szCs w:val="20"/>
          <w:lang w:val="en-US" w:eastAsia="zh-CN"/>
        </w:rPr>
        <w:t xml:space="preserve"> DL RRC message containing UE-specific SL-PRS configuration. This is especially for mode 1 UE.</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8: For the hybrid of PC5-based and Uu-based positioning, support to add some sidelink positioning related signalings in the Uu-based positioning signaling (LPP and/or RRC signaling).</w:t>
      </w:r>
    </w:p>
    <w:p>
      <w:pPr>
        <w:pStyle w:val="4"/>
        <w:numPr>
          <w:ilvl w:val="2"/>
          <w:numId w:val="5"/>
        </w:numPr>
        <w:tabs>
          <w:tab w:val="clear" w:pos="720"/>
        </w:tabs>
        <w:snapToGrid w:val="0"/>
        <w:spacing w:before="156" w:beforeLines="50" w:after="156" w:afterLines="50" w:line="240" w:lineRule="auto"/>
        <w:jc w:val="both"/>
        <w:rPr>
          <w:lang w:val="en-US" w:eastAsia="zh-CN"/>
        </w:rPr>
      </w:pPr>
      <w:r>
        <w:rPr>
          <w:lang w:val="en-US" w:eastAsia="zh-CN"/>
        </w:rPr>
        <w:t>Pre-configuration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B</w:t>
      </w:r>
      <w:r>
        <w:rPr>
          <w:rFonts w:hint="eastAsia" w:ascii="Times New Roman" w:hAnsi="Times New Roman"/>
          <w:kern w:val="0"/>
          <w:sz w:val="20"/>
          <w:szCs w:val="20"/>
          <w:lang w:val="en-US" w:eastAsia="zh-CN"/>
        </w:rPr>
        <w:t xml:space="preserve">esides </w:t>
      </w:r>
      <w:r>
        <w:rPr>
          <w:rFonts w:ascii="Times New Roman" w:hAnsi="Times New Roman"/>
          <w:kern w:val="0"/>
          <w:sz w:val="20"/>
          <w:szCs w:val="20"/>
          <w:lang w:val="en-US" w:eastAsia="zh-CN"/>
        </w:rPr>
        <w:t>PC5 reference point signaling and Uu reference point signaling, the sidelink control signaling may also come from pre-configuration. For example, for out of coverage and mode 2 UE, it can only get the SL-PRS configuration through pre-configuration. Thus, delivering SL-PRS configuration via pre-configuration should be a possible way.</w:t>
      </w:r>
      <w:bookmarkStart w:id="8" w:name="_GoBack"/>
      <w:bookmarkEnd w:id="8"/>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9: For Rel-18 sidelink positioning, support to contain SL-PRS configuration via pre-configuration.</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Observation 1: RSPP, PC5-S and PC5-RRC can be options to carry the control signaling of sidelink positioning.</w:t>
      </w:r>
    </w:p>
    <w:p>
      <w:pPr>
        <w:pageBreakBefore w:val="0"/>
        <w:kinsoku/>
        <w:wordWrap/>
        <w:topLinePunct w:val="0"/>
        <w:bidi w:val="0"/>
        <w:adjustRightInd w:val="0"/>
        <w:snapToGrid w:val="0"/>
        <w:spacing w:before="157" w:beforeLines="50" w:after="157" w:afterLines="50" w:line="240" w:lineRule="auto"/>
        <w:rPr>
          <w:rFonts w:ascii="Times New Roman" w:hAnsi="Times New Roman"/>
          <w:b/>
          <w:bCs/>
          <w:i/>
          <w:sz w:val="20"/>
          <w:szCs w:val="20"/>
        </w:rPr>
      </w:pPr>
      <w:r>
        <w:rPr>
          <w:rFonts w:ascii="Times New Roman" w:hAnsi="Times New Roman"/>
          <w:b/>
          <w:bCs/>
          <w:i/>
          <w:sz w:val="20"/>
          <w:szCs w:val="20"/>
        </w:rPr>
        <w:t>Proposal 1: In Rel-18 sidelink positioning, support to further study both PC5-only positioning and the hybrid of PC5-based and Uu-based positioning.</w:t>
      </w:r>
    </w:p>
    <w:p>
      <w:pPr>
        <w:pageBreakBefore w:val="0"/>
        <w:kinsoku/>
        <w:wordWrap/>
        <w:topLinePunct w:val="0"/>
        <w:bidi w:val="0"/>
        <w:adjustRightInd w:val="0"/>
        <w:snapToGrid w:val="0"/>
        <w:spacing w:before="157" w:beforeLines="50" w:after="157" w:afterLines="50" w:line="240" w:lineRule="auto"/>
        <w:rPr>
          <w:rFonts w:ascii="Times New Roman" w:hAnsi="Times New Roman"/>
          <w:b/>
          <w:bCs/>
          <w:i/>
          <w:iCs/>
          <w:sz w:val="20"/>
          <w:szCs w:val="20"/>
          <w:lang w:val="en-US" w:eastAsia="zh-CN"/>
        </w:rPr>
      </w:pPr>
      <w:r>
        <w:rPr>
          <w:rFonts w:hint="eastAsia" w:ascii="Times New Roman" w:hAnsi="Times New Roman"/>
          <w:b/>
          <w:bCs/>
          <w:i/>
          <w:iCs/>
          <w:kern w:val="0"/>
          <w:sz w:val="20"/>
          <w:szCs w:val="20"/>
          <w:lang w:val="en-US" w:eastAsia="zh-CN"/>
        </w:rPr>
        <w:t xml:space="preserve">Proposal </w:t>
      </w:r>
      <w:r>
        <w:rPr>
          <w:rFonts w:ascii="Times New Roman" w:hAnsi="Times New Roman"/>
          <w:b/>
          <w:bCs/>
          <w:i/>
          <w:iCs/>
          <w:kern w:val="0"/>
          <w:sz w:val="20"/>
          <w:szCs w:val="20"/>
          <w:lang w:val="en-US" w:eastAsia="zh-CN"/>
        </w:rPr>
        <w:t>2</w:t>
      </w:r>
      <w:r>
        <w:rPr>
          <w:rFonts w:hint="eastAsia" w:ascii="Times New Roman" w:hAnsi="Times New Roman"/>
          <w:b/>
          <w:bCs/>
          <w:i/>
          <w:iCs/>
          <w:kern w:val="0"/>
          <w:sz w:val="20"/>
          <w:szCs w:val="20"/>
          <w:lang w:val="en-US" w:eastAsia="zh-CN"/>
        </w:rPr>
        <w:t xml:space="preserve">: </w:t>
      </w:r>
      <w:r>
        <w:rPr>
          <w:rFonts w:ascii="Times New Roman" w:hAnsi="Times New Roman"/>
          <w:b/>
          <w:bCs/>
          <w:i/>
          <w:iCs/>
          <w:kern w:val="0"/>
          <w:sz w:val="20"/>
          <w:szCs w:val="20"/>
          <w:lang w:val="en-US" w:eastAsia="zh-CN"/>
        </w:rPr>
        <w:t xml:space="preserve">For Rel-18 sidelink positioning, support RAN2 to consider the following scenarios for further study: </w:t>
      </w:r>
    </w:p>
    <w:p>
      <w:pPr>
        <w:pageBreakBefore w:val="0"/>
        <w:numPr>
          <w:ilvl w:val="0"/>
          <w:numId w:val="7"/>
        </w:numPr>
        <w:kinsoku/>
        <w:wordWrap/>
        <w:topLinePunct w:val="0"/>
        <w:bidi w:val="0"/>
        <w:adjustRightInd w:val="0"/>
        <w:snapToGrid w:val="0"/>
        <w:spacing w:before="157" w:beforeLines="50" w:after="157" w:afterLines="50" w:line="240" w:lineRule="auto"/>
        <w:ind w:left="840" w:leftChars="40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Target UE and anchor UEs are both in/partial coverage </w:t>
      </w:r>
    </w:p>
    <w:p>
      <w:pPr>
        <w:pageBreakBefore w:val="0"/>
        <w:numPr>
          <w:ilvl w:val="0"/>
          <w:numId w:val="7"/>
        </w:numPr>
        <w:kinsoku/>
        <w:wordWrap/>
        <w:topLinePunct w:val="0"/>
        <w:bidi w:val="0"/>
        <w:adjustRightInd w:val="0"/>
        <w:snapToGrid w:val="0"/>
        <w:spacing w:before="157" w:beforeLines="50" w:after="157" w:afterLines="50" w:line="240" w:lineRule="auto"/>
        <w:ind w:left="840" w:leftChars="40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Target UE is in/partial coverage, while anchor UEs are out of coverage</w:t>
      </w:r>
    </w:p>
    <w:p>
      <w:pPr>
        <w:pageBreakBefore w:val="0"/>
        <w:numPr>
          <w:ilvl w:val="0"/>
          <w:numId w:val="7"/>
        </w:numPr>
        <w:kinsoku/>
        <w:wordWrap/>
        <w:topLinePunct w:val="0"/>
        <w:bidi w:val="0"/>
        <w:adjustRightInd w:val="0"/>
        <w:snapToGrid w:val="0"/>
        <w:spacing w:before="157" w:beforeLines="50" w:after="157" w:afterLines="50" w:line="240" w:lineRule="auto"/>
        <w:ind w:left="840" w:leftChars="40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Target UE is out of coverage, while anchor UEs are in/partial coverage </w:t>
      </w:r>
    </w:p>
    <w:p>
      <w:pPr>
        <w:pageBreakBefore w:val="0"/>
        <w:numPr>
          <w:ilvl w:val="0"/>
          <w:numId w:val="7"/>
        </w:numPr>
        <w:kinsoku/>
        <w:wordWrap/>
        <w:topLinePunct w:val="0"/>
        <w:bidi w:val="0"/>
        <w:adjustRightInd w:val="0"/>
        <w:snapToGrid w:val="0"/>
        <w:spacing w:before="157" w:beforeLines="50" w:after="157" w:afterLines="50" w:line="240" w:lineRule="auto"/>
        <w:ind w:left="840" w:leftChars="40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Target UE and anchor UEs are both out of coverage </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Proposal 3: For sidelink positioning, suggest to wait for RAN1’s decision on detailed signaling interaction of different </w:t>
      </w:r>
      <w:r>
        <w:rPr>
          <w:rFonts w:hint="eastAsia" w:ascii="Times New Roman" w:hAnsi="Times New Roman"/>
          <w:b/>
          <w:i/>
          <w:kern w:val="0"/>
          <w:sz w:val="20"/>
          <w:szCs w:val="20"/>
          <w:lang w:val="en-US" w:eastAsia="zh-CN"/>
        </w:rPr>
        <w:t xml:space="preserve">sidelink </w:t>
      </w:r>
      <w:r>
        <w:rPr>
          <w:rFonts w:ascii="Times New Roman" w:hAnsi="Times New Roman"/>
          <w:b/>
          <w:i/>
          <w:kern w:val="0"/>
          <w:sz w:val="20"/>
          <w:szCs w:val="20"/>
          <w:lang w:val="en-US" w:eastAsia="zh-CN"/>
        </w:rPr>
        <w:t>positioning methods.</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4: In Rel-18 sidelink positioning, support RAN2 to further study the following control signaling:</w:t>
      </w:r>
    </w:p>
    <w:p>
      <w:pPr>
        <w:pStyle w:val="67"/>
        <w:pageBreakBefore w:val="0"/>
        <w:numPr>
          <w:ilvl w:val="0"/>
          <w:numId w:val="9"/>
        </w:numPr>
        <w:kinsoku/>
        <w:wordWrap/>
        <w:topLinePunct w:val="0"/>
        <w:bidi w:val="0"/>
        <w:adjustRightInd w:val="0"/>
        <w:snapToGrid w:val="0"/>
        <w:spacing w:before="157" w:beforeLines="50" w:after="157" w:afterLines="50" w:line="240" w:lineRule="auto"/>
        <w:ind w:firstLine="402"/>
        <w:rPr>
          <w:rFonts w:ascii="Times New Roman" w:hAnsi="Times New Roman"/>
          <w:b/>
          <w:bCs/>
          <w:i/>
          <w:sz w:val="20"/>
          <w:szCs w:val="20"/>
        </w:rPr>
      </w:pPr>
      <w:r>
        <w:rPr>
          <w:rFonts w:ascii="Times New Roman" w:hAnsi="Times New Roman"/>
          <w:b/>
          <w:bCs/>
          <w:i/>
          <w:sz w:val="20"/>
          <w:szCs w:val="20"/>
        </w:rPr>
        <w:t>Capability interaction</w:t>
      </w:r>
    </w:p>
    <w:p>
      <w:pPr>
        <w:pStyle w:val="67"/>
        <w:pageBreakBefore w:val="0"/>
        <w:numPr>
          <w:ilvl w:val="0"/>
          <w:numId w:val="9"/>
        </w:numPr>
        <w:kinsoku/>
        <w:wordWrap/>
        <w:topLinePunct w:val="0"/>
        <w:bidi w:val="0"/>
        <w:adjustRightInd w:val="0"/>
        <w:snapToGrid w:val="0"/>
        <w:spacing w:before="157" w:beforeLines="50" w:after="157" w:afterLines="50" w:line="240" w:lineRule="auto"/>
        <w:ind w:firstLine="402"/>
        <w:rPr>
          <w:rFonts w:ascii="Times New Roman" w:hAnsi="Times New Roman"/>
          <w:b/>
          <w:bCs/>
          <w:i/>
          <w:sz w:val="20"/>
          <w:szCs w:val="20"/>
        </w:rPr>
      </w:pPr>
      <w:r>
        <w:rPr>
          <w:rFonts w:ascii="Times New Roman" w:hAnsi="Times New Roman"/>
          <w:b/>
          <w:bCs/>
          <w:i/>
          <w:sz w:val="20"/>
          <w:szCs w:val="20"/>
        </w:rPr>
        <w:t>Assistance data interaction, may include:</w:t>
      </w:r>
    </w:p>
    <w:p>
      <w:pPr>
        <w:pStyle w:val="67"/>
        <w:pageBreakBefore w:val="0"/>
        <w:numPr>
          <w:ilvl w:val="0"/>
          <w:numId w:val="9"/>
        </w:numPr>
        <w:kinsoku/>
        <w:wordWrap/>
        <w:topLinePunct w:val="0"/>
        <w:bidi w:val="0"/>
        <w:adjustRightInd w:val="0"/>
        <w:snapToGrid w:val="0"/>
        <w:spacing w:before="157" w:beforeLines="50" w:after="157" w:afterLines="50" w:line="240" w:lineRule="auto"/>
        <w:ind w:left="840" w:leftChars="400" w:firstLine="402"/>
        <w:rPr>
          <w:rFonts w:ascii="Times New Roman" w:hAnsi="Times New Roman"/>
          <w:b/>
          <w:bCs/>
          <w:i/>
          <w:sz w:val="20"/>
          <w:szCs w:val="20"/>
        </w:rPr>
      </w:pPr>
      <w:r>
        <w:rPr>
          <w:rFonts w:hint="eastAsia" w:ascii="Times New Roman" w:hAnsi="Times New Roman"/>
          <w:b/>
          <w:bCs/>
          <w:i/>
          <w:sz w:val="20"/>
          <w:szCs w:val="20"/>
          <w:lang w:eastAsia="zh-CN"/>
        </w:rPr>
        <w:t>SL-PRS configuration</w:t>
      </w:r>
    </w:p>
    <w:p>
      <w:pPr>
        <w:pStyle w:val="67"/>
        <w:pageBreakBefore w:val="0"/>
        <w:numPr>
          <w:ilvl w:val="0"/>
          <w:numId w:val="9"/>
        </w:numPr>
        <w:kinsoku/>
        <w:wordWrap/>
        <w:topLinePunct w:val="0"/>
        <w:bidi w:val="0"/>
        <w:adjustRightInd w:val="0"/>
        <w:snapToGrid w:val="0"/>
        <w:spacing w:before="157" w:beforeLines="50" w:after="157" w:afterLines="50" w:line="240" w:lineRule="auto"/>
        <w:ind w:left="840" w:leftChars="400" w:firstLine="402"/>
        <w:rPr>
          <w:rFonts w:ascii="Times New Roman" w:hAnsi="Times New Roman"/>
          <w:b/>
          <w:bCs/>
          <w:i/>
          <w:sz w:val="20"/>
          <w:szCs w:val="20"/>
        </w:rPr>
      </w:pPr>
      <w:r>
        <w:rPr>
          <w:rFonts w:ascii="Times New Roman" w:hAnsi="Times New Roman"/>
          <w:b/>
          <w:bCs/>
          <w:i/>
          <w:sz w:val="20"/>
          <w:szCs w:val="20"/>
          <w:lang w:eastAsia="zh-CN"/>
        </w:rPr>
        <w:t>Location calculation information</w:t>
      </w:r>
    </w:p>
    <w:p>
      <w:pPr>
        <w:pStyle w:val="67"/>
        <w:pageBreakBefore w:val="0"/>
        <w:numPr>
          <w:ilvl w:val="0"/>
          <w:numId w:val="9"/>
        </w:numPr>
        <w:kinsoku/>
        <w:wordWrap/>
        <w:topLinePunct w:val="0"/>
        <w:bidi w:val="0"/>
        <w:adjustRightInd w:val="0"/>
        <w:snapToGrid w:val="0"/>
        <w:spacing w:before="157" w:beforeLines="50" w:after="157" w:afterLines="50" w:line="240" w:lineRule="auto"/>
        <w:ind w:firstLine="402"/>
        <w:rPr>
          <w:rFonts w:ascii="Times New Roman" w:hAnsi="Times New Roman"/>
          <w:b/>
          <w:bCs/>
          <w:i/>
          <w:sz w:val="20"/>
          <w:szCs w:val="20"/>
        </w:rPr>
      </w:pPr>
      <w:r>
        <w:rPr>
          <w:rFonts w:ascii="Times New Roman" w:hAnsi="Times New Roman"/>
          <w:b/>
          <w:bCs/>
          <w:i/>
          <w:sz w:val="20"/>
          <w:szCs w:val="20"/>
        </w:rPr>
        <w:t>Positioning measurement report</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Proposal 5: In sidelink positioning between UEs, support to convey capability interaction, anchor UE location interaction and measurement report by NAS layer, i.e., RSPP message. </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6: In sidelink positioning between UEs, support to convey SL-PRS configuration by AS layer, i.e., PC5-RRC signaling.</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w:t>
      </w:r>
      <w:r>
        <w:rPr>
          <w:rFonts w:hint="eastAsia" w:ascii="Times New Roman" w:hAnsi="Times New Roman"/>
          <w:b/>
          <w:i/>
          <w:kern w:val="0"/>
          <w:sz w:val="20"/>
          <w:szCs w:val="20"/>
          <w:lang w:val="en-US" w:eastAsia="zh-CN"/>
        </w:rPr>
        <w:t xml:space="preserve">roposal </w:t>
      </w:r>
      <w:r>
        <w:rPr>
          <w:rFonts w:ascii="Times New Roman" w:hAnsi="Times New Roman"/>
          <w:b/>
          <w:i/>
          <w:kern w:val="0"/>
          <w:sz w:val="20"/>
          <w:szCs w:val="20"/>
          <w:lang w:val="en-US" w:eastAsia="zh-CN"/>
        </w:rPr>
        <w:t>7: In Rel-18 sidelink positioning, support RAN2 to consider the cast type of capability interaction, measurement report and assistance data interaction.</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8: For the hybrid of PC5-based and Uu-based positioning, support to add some sidelink positioning related signalings in the Uu-based positioning signaling (LPP and/or RRC signaling).</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bookmarkStart w:id="5" w:name="_Toc18413612"/>
      <w:bookmarkStart w:id="6" w:name="_Toc18403976"/>
      <w:bookmarkStart w:id="7" w:name="_Toc18404543"/>
      <w:r>
        <w:rPr>
          <w:rFonts w:ascii="Times New Roman" w:hAnsi="Times New Roman"/>
          <w:b/>
          <w:i/>
          <w:kern w:val="0"/>
          <w:sz w:val="20"/>
          <w:szCs w:val="20"/>
          <w:lang w:val="en-US" w:eastAsia="zh-CN"/>
        </w:rPr>
        <w:t>Proposal 9: For Rel-18 sidelink positioning, support to contain SL-PRS configuration via pre-configuration.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5"/>
      <w:bookmarkEnd w:id="6"/>
      <w:bookmarkEnd w:id="7"/>
    </w:p>
    <w:p>
      <w:pPr>
        <w:pageBreakBefore w:val="0"/>
        <w:numPr>
          <w:ilvl w:val="0"/>
          <w:numId w:val="11"/>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eastAsia="宋体"/>
          <w:color w:val="000000"/>
          <w:sz w:val="20"/>
          <w:szCs w:val="20"/>
          <w:lang w:val="en-US" w:eastAsia="zh-CN"/>
        </w:rPr>
        <w:t>RP-213588, Revised SID on Study on expanded and improved NR positioning.</w:t>
      </w:r>
    </w:p>
    <w:p>
      <w:pPr>
        <w:pageBreakBefore w:val="0"/>
        <w:numPr>
          <w:ilvl w:val="0"/>
          <w:numId w:val="11"/>
        </w:numPr>
        <w:kinsoku/>
        <w:wordWrap/>
        <w:topLinePunct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eastAsia="宋体"/>
          <w:color w:val="000000"/>
          <w:sz w:val="20"/>
          <w:szCs w:val="20"/>
          <w:lang w:val="en-US" w:eastAsia="zh-CN"/>
        </w:rPr>
        <w:t>TS 38.305, Stage 2 functional specification of</w:t>
      </w:r>
      <w:r>
        <w:rPr>
          <w:rFonts w:hint="eastAsia" w:ascii="Times New Roman" w:hAnsi="Times New Roman" w:eastAsia="宋体"/>
          <w:color w:val="000000"/>
          <w:sz w:val="20"/>
          <w:szCs w:val="20"/>
          <w:lang w:val="en-US" w:eastAsia="zh-CN"/>
        </w:rPr>
        <w:t xml:space="preserve"> </w:t>
      </w:r>
      <w:r>
        <w:rPr>
          <w:rFonts w:ascii="Times New Roman" w:hAnsi="Times New Roman" w:eastAsia="宋体"/>
          <w:color w:val="000000"/>
          <w:sz w:val="20"/>
          <w:szCs w:val="20"/>
          <w:lang w:val="en-US" w:eastAsia="zh-CN"/>
        </w:rPr>
        <w:t>User Equipment (UE) positioning in NG-RAN, 2022-06</w:t>
      </w:r>
    </w:p>
    <w:p>
      <w:pPr>
        <w:pageBreakBefore w:val="0"/>
        <w:numPr>
          <w:ilvl w:val="0"/>
          <w:numId w:val="11"/>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eastAsia="zh-CN"/>
        </w:rPr>
        <w:t xml:space="preserve">TS 23.287, </w:t>
      </w:r>
      <w:r>
        <w:rPr>
          <w:rFonts w:ascii="Times New Roman" w:hAnsi="Times New Roman"/>
          <w:color w:val="000000"/>
          <w:sz w:val="20"/>
          <w:szCs w:val="20"/>
          <w:lang w:eastAsia="zh-CN"/>
        </w:rPr>
        <w:t>Architecture enhancements for 5G System (5GS) to support</w:t>
      </w:r>
      <w:r>
        <w:rPr>
          <w:rFonts w:hint="eastAsia" w:ascii="Times New Roman" w:hAnsi="Times New Roman"/>
          <w:color w:val="000000"/>
          <w:sz w:val="20"/>
          <w:szCs w:val="20"/>
          <w:lang w:eastAsia="zh-CN"/>
        </w:rPr>
        <w:t xml:space="preserve"> </w:t>
      </w:r>
      <w:r>
        <w:rPr>
          <w:rFonts w:ascii="Times New Roman" w:hAnsi="Times New Roman"/>
          <w:color w:val="000000"/>
          <w:sz w:val="20"/>
          <w:szCs w:val="20"/>
          <w:lang w:eastAsia="zh-CN"/>
        </w:rPr>
        <w:t>Vehicle-to-Everything (V2X) services, 2021-12.</w:t>
      </w:r>
    </w:p>
    <w:p>
      <w:pPr>
        <w:pageBreakBefore w:val="0"/>
        <w:numPr>
          <w:ilvl w:val="0"/>
          <w:numId w:val="11"/>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Report of 3GPP TSG RAN WG1 meeting #109-e, Online, May, 2022.</w:t>
      </w:r>
    </w:p>
    <w:p>
      <w:pPr>
        <w:pageBreakBefore w:val="0"/>
        <w:numPr>
          <w:ilvl w:val="0"/>
          <w:numId w:val="11"/>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TS 38.300, NR; NR and NG-RAN Overall Description;</w:t>
      </w:r>
      <w:r>
        <w:rPr>
          <w:rFonts w:hint="eastAsia" w:ascii="Times New Roman" w:hAnsi="Times New Roman"/>
          <w:color w:val="000000"/>
          <w:sz w:val="20"/>
          <w:szCs w:val="20"/>
          <w:lang w:eastAsia="zh-CN"/>
        </w:rPr>
        <w:t xml:space="preserve"> </w:t>
      </w:r>
      <w:r>
        <w:rPr>
          <w:rFonts w:ascii="Times New Roman" w:hAnsi="Times New Roman"/>
          <w:color w:val="000000"/>
          <w:sz w:val="20"/>
          <w:szCs w:val="20"/>
          <w:lang w:eastAsia="zh-CN"/>
        </w:rPr>
        <w:t>Stage 2, 2022-03.</w:t>
      </w:r>
    </w:p>
    <w:p>
      <w:pPr>
        <w:pageBreakBefore w:val="0"/>
        <w:numPr>
          <w:ilvl w:val="0"/>
          <w:numId w:val="11"/>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eastAsia="zh-CN"/>
        </w:rPr>
        <w:t xml:space="preserve">TR 23.700-86, </w:t>
      </w:r>
      <w:r>
        <w:rPr>
          <w:rFonts w:ascii="Times New Roman" w:hAnsi="Times New Roman"/>
          <w:color w:val="000000"/>
          <w:sz w:val="20"/>
          <w:szCs w:val="20"/>
          <w:lang w:eastAsia="zh-CN"/>
        </w:rPr>
        <w:t>Study on Architecture Enhancement to support</w:t>
      </w:r>
      <w:r>
        <w:rPr>
          <w:rFonts w:hint="eastAsia" w:ascii="Times New Roman" w:hAnsi="Times New Roman"/>
          <w:color w:val="000000"/>
          <w:sz w:val="20"/>
          <w:szCs w:val="20"/>
          <w:lang w:eastAsia="zh-CN"/>
        </w:rPr>
        <w:t xml:space="preserve"> </w:t>
      </w:r>
      <w:r>
        <w:rPr>
          <w:rFonts w:ascii="Times New Roman" w:hAnsi="Times New Roman"/>
          <w:color w:val="000000"/>
          <w:sz w:val="20"/>
          <w:szCs w:val="20"/>
          <w:lang w:eastAsia="zh-CN"/>
        </w:rPr>
        <w:t>Ranging based services and sidelink positioning, 2022-06.</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C8D56D2D"/>
    <w:multiLevelType w:val="singleLevel"/>
    <w:tmpl w:val="C8D56D2D"/>
    <w:lvl w:ilvl="0" w:tentative="0">
      <w:start w:val="1"/>
      <w:numFmt w:val="bullet"/>
      <w:lvlText w:val="•"/>
      <w:lvlJc w:val="left"/>
      <w:pPr>
        <w:ind w:left="420" w:hanging="420"/>
      </w:pPr>
      <w:rPr>
        <w:rFonts w:hint="default" w:ascii="Arial" w:hAnsi="Arial" w:cs="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102FE0F"/>
    <w:multiLevelType w:val="singleLevel"/>
    <w:tmpl w:val="0102FE0F"/>
    <w:lvl w:ilvl="0" w:tentative="0">
      <w:start w:val="1"/>
      <w:numFmt w:val="bullet"/>
      <w:lvlText w:val=""/>
      <w:lvlJc w:val="left"/>
      <w:pPr>
        <w:ind w:left="420" w:hanging="420"/>
      </w:pPr>
      <w:rPr>
        <w:rFonts w:hint="default" w:ascii="Wingdings" w:hAnsi="Wingdings"/>
      </w:rPr>
    </w:lvl>
  </w:abstractNum>
  <w:abstractNum w:abstractNumId="5">
    <w:nsid w:val="1E3AC6AC"/>
    <w:multiLevelType w:val="singleLevel"/>
    <w:tmpl w:val="1E3AC6AC"/>
    <w:lvl w:ilvl="0" w:tentative="0">
      <w:start w:val="1"/>
      <w:numFmt w:val="bullet"/>
      <w:lvlText w:val="•"/>
      <w:lvlJc w:val="left"/>
      <w:pPr>
        <w:ind w:left="420" w:hanging="420"/>
      </w:pPr>
      <w:rPr>
        <w:rFonts w:hint="default" w:ascii="Arial" w:hAnsi="Arial" w:cs="Wingdings"/>
      </w:rPr>
    </w:lvl>
  </w:abstractNum>
  <w:abstractNum w:abstractNumId="6">
    <w:nsid w:val="29CA54FA"/>
    <w:multiLevelType w:val="multilevel"/>
    <w:tmpl w:val="29CA54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7EC44EF"/>
    <w:multiLevelType w:val="multilevel"/>
    <w:tmpl w:val="57EC44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7"/>
  </w:num>
  <w:num w:numId="4">
    <w:abstractNumId w:val="8"/>
  </w:num>
  <w:num w:numId="5">
    <w:abstractNumId w:val="3"/>
  </w:num>
  <w:num w:numId="6">
    <w:abstractNumId w:val="6"/>
  </w:num>
  <w:num w:numId="7">
    <w:abstractNumId w:val="1"/>
  </w:num>
  <w:num w:numId="8">
    <w:abstractNumId w:val="4"/>
  </w:num>
  <w:num w:numId="9">
    <w:abstractNumId w:val="5"/>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1EF704C"/>
    <w:rsid w:val="02090528"/>
    <w:rsid w:val="02096E03"/>
    <w:rsid w:val="021A15C5"/>
    <w:rsid w:val="02543E2F"/>
    <w:rsid w:val="0276200A"/>
    <w:rsid w:val="02852DB6"/>
    <w:rsid w:val="02AF57A1"/>
    <w:rsid w:val="02C63FE5"/>
    <w:rsid w:val="02F13DD8"/>
    <w:rsid w:val="03397D1D"/>
    <w:rsid w:val="034C2C19"/>
    <w:rsid w:val="03695ACD"/>
    <w:rsid w:val="036E1C26"/>
    <w:rsid w:val="037439E2"/>
    <w:rsid w:val="03811AAC"/>
    <w:rsid w:val="03BC3684"/>
    <w:rsid w:val="0427122D"/>
    <w:rsid w:val="04405CD4"/>
    <w:rsid w:val="04CA0EF3"/>
    <w:rsid w:val="05D1293B"/>
    <w:rsid w:val="05DD432B"/>
    <w:rsid w:val="06270E5D"/>
    <w:rsid w:val="06301129"/>
    <w:rsid w:val="06885F28"/>
    <w:rsid w:val="06931225"/>
    <w:rsid w:val="06997BBE"/>
    <w:rsid w:val="06FD17FF"/>
    <w:rsid w:val="07332E45"/>
    <w:rsid w:val="07393CB3"/>
    <w:rsid w:val="074F610E"/>
    <w:rsid w:val="075A40CD"/>
    <w:rsid w:val="07645E7E"/>
    <w:rsid w:val="07815AA2"/>
    <w:rsid w:val="07C771F6"/>
    <w:rsid w:val="07DB31F6"/>
    <w:rsid w:val="08036844"/>
    <w:rsid w:val="083828A5"/>
    <w:rsid w:val="08634AA9"/>
    <w:rsid w:val="086A0D8F"/>
    <w:rsid w:val="08865F0F"/>
    <w:rsid w:val="08870B03"/>
    <w:rsid w:val="08F85767"/>
    <w:rsid w:val="09253E9C"/>
    <w:rsid w:val="0929781C"/>
    <w:rsid w:val="09324291"/>
    <w:rsid w:val="095438C6"/>
    <w:rsid w:val="0962097D"/>
    <w:rsid w:val="098B1EF5"/>
    <w:rsid w:val="09911B95"/>
    <w:rsid w:val="09945F3A"/>
    <w:rsid w:val="09CB5A6C"/>
    <w:rsid w:val="09CF7F1B"/>
    <w:rsid w:val="09F00BD8"/>
    <w:rsid w:val="09F318B6"/>
    <w:rsid w:val="09FD6E02"/>
    <w:rsid w:val="0A007BC0"/>
    <w:rsid w:val="0A1A74F5"/>
    <w:rsid w:val="0A1D73FF"/>
    <w:rsid w:val="0A3737D9"/>
    <w:rsid w:val="0A750F68"/>
    <w:rsid w:val="0A8417D4"/>
    <w:rsid w:val="0AE61C59"/>
    <w:rsid w:val="0AEC356E"/>
    <w:rsid w:val="0AF22A25"/>
    <w:rsid w:val="0B545B44"/>
    <w:rsid w:val="0BFC2A25"/>
    <w:rsid w:val="0C0165D0"/>
    <w:rsid w:val="0C34609D"/>
    <w:rsid w:val="0C4A196E"/>
    <w:rsid w:val="0C567D3B"/>
    <w:rsid w:val="0CBA1583"/>
    <w:rsid w:val="0CBC415D"/>
    <w:rsid w:val="0CD249CC"/>
    <w:rsid w:val="0D9222C1"/>
    <w:rsid w:val="0DC045AB"/>
    <w:rsid w:val="0DFF7D07"/>
    <w:rsid w:val="0E374CA0"/>
    <w:rsid w:val="0E6F0740"/>
    <w:rsid w:val="0EC0431F"/>
    <w:rsid w:val="0EFC2191"/>
    <w:rsid w:val="0F321E2D"/>
    <w:rsid w:val="0F4E2E70"/>
    <w:rsid w:val="0F6715A1"/>
    <w:rsid w:val="0F8070F6"/>
    <w:rsid w:val="0FA731D6"/>
    <w:rsid w:val="10232DBB"/>
    <w:rsid w:val="103246BB"/>
    <w:rsid w:val="103F55E5"/>
    <w:rsid w:val="108C2AA3"/>
    <w:rsid w:val="109F7527"/>
    <w:rsid w:val="10DE14BF"/>
    <w:rsid w:val="10DF3115"/>
    <w:rsid w:val="113E3C41"/>
    <w:rsid w:val="115043F2"/>
    <w:rsid w:val="11793F32"/>
    <w:rsid w:val="11B5797D"/>
    <w:rsid w:val="11C5124A"/>
    <w:rsid w:val="11DD4AE3"/>
    <w:rsid w:val="11E15AE5"/>
    <w:rsid w:val="11E53E9B"/>
    <w:rsid w:val="11FC5F30"/>
    <w:rsid w:val="120048B1"/>
    <w:rsid w:val="12015140"/>
    <w:rsid w:val="12394E59"/>
    <w:rsid w:val="12866079"/>
    <w:rsid w:val="1299671F"/>
    <w:rsid w:val="12A742B1"/>
    <w:rsid w:val="12C40C84"/>
    <w:rsid w:val="12E63AB1"/>
    <w:rsid w:val="131813A1"/>
    <w:rsid w:val="13DC640D"/>
    <w:rsid w:val="141842FE"/>
    <w:rsid w:val="14251B39"/>
    <w:rsid w:val="14352831"/>
    <w:rsid w:val="146B64E1"/>
    <w:rsid w:val="14993B21"/>
    <w:rsid w:val="14D73601"/>
    <w:rsid w:val="15014A40"/>
    <w:rsid w:val="15442AC7"/>
    <w:rsid w:val="15667345"/>
    <w:rsid w:val="156B4B8B"/>
    <w:rsid w:val="15890495"/>
    <w:rsid w:val="15B77963"/>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814AF"/>
    <w:rsid w:val="189D065F"/>
    <w:rsid w:val="18BC6F6C"/>
    <w:rsid w:val="18F32BCE"/>
    <w:rsid w:val="18FC4F8D"/>
    <w:rsid w:val="18FF4ABB"/>
    <w:rsid w:val="19343406"/>
    <w:rsid w:val="19AB1A54"/>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222B2"/>
    <w:rsid w:val="1E2442EB"/>
    <w:rsid w:val="1E2804C4"/>
    <w:rsid w:val="1E2C49A1"/>
    <w:rsid w:val="1E3722FA"/>
    <w:rsid w:val="1E8146DA"/>
    <w:rsid w:val="1EA46EA2"/>
    <w:rsid w:val="1EAA39F6"/>
    <w:rsid w:val="1EB2633F"/>
    <w:rsid w:val="1EB847E9"/>
    <w:rsid w:val="1F264681"/>
    <w:rsid w:val="1F63560E"/>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8F6DAE"/>
    <w:rsid w:val="21A40526"/>
    <w:rsid w:val="21D36B48"/>
    <w:rsid w:val="21D93ECC"/>
    <w:rsid w:val="221B7641"/>
    <w:rsid w:val="222E4F94"/>
    <w:rsid w:val="224F5646"/>
    <w:rsid w:val="229A0A46"/>
    <w:rsid w:val="22BD0C78"/>
    <w:rsid w:val="22D5441E"/>
    <w:rsid w:val="22D61F71"/>
    <w:rsid w:val="232660FF"/>
    <w:rsid w:val="23BE01FF"/>
    <w:rsid w:val="2418652F"/>
    <w:rsid w:val="245A1846"/>
    <w:rsid w:val="248512BD"/>
    <w:rsid w:val="24BE3459"/>
    <w:rsid w:val="24DF29CF"/>
    <w:rsid w:val="24E51B39"/>
    <w:rsid w:val="25173A41"/>
    <w:rsid w:val="252D5DCC"/>
    <w:rsid w:val="255B75CB"/>
    <w:rsid w:val="25841D88"/>
    <w:rsid w:val="25A45302"/>
    <w:rsid w:val="25A94E88"/>
    <w:rsid w:val="25C84E2B"/>
    <w:rsid w:val="25E135DF"/>
    <w:rsid w:val="261E413F"/>
    <w:rsid w:val="263E633F"/>
    <w:rsid w:val="267E599C"/>
    <w:rsid w:val="26995B41"/>
    <w:rsid w:val="26C17FC8"/>
    <w:rsid w:val="26D04B06"/>
    <w:rsid w:val="27771F24"/>
    <w:rsid w:val="27B132D6"/>
    <w:rsid w:val="27FF1FDA"/>
    <w:rsid w:val="28026CAF"/>
    <w:rsid w:val="28915210"/>
    <w:rsid w:val="28937E74"/>
    <w:rsid w:val="29095102"/>
    <w:rsid w:val="293E1B9C"/>
    <w:rsid w:val="299F2C32"/>
    <w:rsid w:val="29A240AE"/>
    <w:rsid w:val="29A81AA0"/>
    <w:rsid w:val="29B32846"/>
    <w:rsid w:val="29ED63D5"/>
    <w:rsid w:val="2A275682"/>
    <w:rsid w:val="2A275D46"/>
    <w:rsid w:val="2AA14025"/>
    <w:rsid w:val="2ACA4643"/>
    <w:rsid w:val="2B2348E2"/>
    <w:rsid w:val="2B410587"/>
    <w:rsid w:val="2B5D0645"/>
    <w:rsid w:val="2B907720"/>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2FDD2280"/>
    <w:rsid w:val="300160A4"/>
    <w:rsid w:val="3003631E"/>
    <w:rsid w:val="30745F5B"/>
    <w:rsid w:val="3078124A"/>
    <w:rsid w:val="3090209F"/>
    <w:rsid w:val="30953FB5"/>
    <w:rsid w:val="30B900CD"/>
    <w:rsid w:val="30EF2DA4"/>
    <w:rsid w:val="31623402"/>
    <w:rsid w:val="31EB4942"/>
    <w:rsid w:val="31EC5E5F"/>
    <w:rsid w:val="32187B45"/>
    <w:rsid w:val="32362071"/>
    <w:rsid w:val="3273050E"/>
    <w:rsid w:val="32891F62"/>
    <w:rsid w:val="328C1583"/>
    <w:rsid w:val="32BA6C6C"/>
    <w:rsid w:val="32C9080C"/>
    <w:rsid w:val="32CA0CF4"/>
    <w:rsid w:val="334275F5"/>
    <w:rsid w:val="33636F14"/>
    <w:rsid w:val="33670485"/>
    <w:rsid w:val="33C5461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FA0996"/>
    <w:rsid w:val="392957F1"/>
    <w:rsid w:val="39467E4B"/>
    <w:rsid w:val="39657A04"/>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BD95615"/>
    <w:rsid w:val="3BDE4187"/>
    <w:rsid w:val="3C087392"/>
    <w:rsid w:val="3C3F7E0E"/>
    <w:rsid w:val="3C893061"/>
    <w:rsid w:val="3CB674D9"/>
    <w:rsid w:val="3CBD1AE8"/>
    <w:rsid w:val="3D0F30FA"/>
    <w:rsid w:val="3D634A82"/>
    <w:rsid w:val="3D9210CE"/>
    <w:rsid w:val="3D984876"/>
    <w:rsid w:val="3DAC0E95"/>
    <w:rsid w:val="3E7A082F"/>
    <w:rsid w:val="3E926EC3"/>
    <w:rsid w:val="3E93478A"/>
    <w:rsid w:val="3E9F10BF"/>
    <w:rsid w:val="3EAB4933"/>
    <w:rsid w:val="3EC40624"/>
    <w:rsid w:val="3F0875E3"/>
    <w:rsid w:val="3F09726C"/>
    <w:rsid w:val="3F1F25CF"/>
    <w:rsid w:val="3F4275F7"/>
    <w:rsid w:val="3F495E7B"/>
    <w:rsid w:val="3F5B21D1"/>
    <w:rsid w:val="3F73510D"/>
    <w:rsid w:val="3FB60A94"/>
    <w:rsid w:val="3FBD74AC"/>
    <w:rsid w:val="402D7D95"/>
    <w:rsid w:val="402F67F2"/>
    <w:rsid w:val="402F7D1A"/>
    <w:rsid w:val="405E7B10"/>
    <w:rsid w:val="40E74724"/>
    <w:rsid w:val="411531A3"/>
    <w:rsid w:val="414B0A93"/>
    <w:rsid w:val="415723A1"/>
    <w:rsid w:val="41643432"/>
    <w:rsid w:val="421B0E01"/>
    <w:rsid w:val="42397238"/>
    <w:rsid w:val="42481B2A"/>
    <w:rsid w:val="428328E7"/>
    <w:rsid w:val="42F81741"/>
    <w:rsid w:val="437906BF"/>
    <w:rsid w:val="43896179"/>
    <w:rsid w:val="43945CC5"/>
    <w:rsid w:val="43BC7AB7"/>
    <w:rsid w:val="43CE3BC6"/>
    <w:rsid w:val="43FB5AF0"/>
    <w:rsid w:val="440B4BBE"/>
    <w:rsid w:val="44211E9A"/>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AB333A"/>
    <w:rsid w:val="47B952BD"/>
    <w:rsid w:val="47FE7D60"/>
    <w:rsid w:val="48110BF4"/>
    <w:rsid w:val="48200D75"/>
    <w:rsid w:val="48283643"/>
    <w:rsid w:val="484C3C28"/>
    <w:rsid w:val="48516D40"/>
    <w:rsid w:val="486A5C7B"/>
    <w:rsid w:val="48BB3F94"/>
    <w:rsid w:val="48DE0121"/>
    <w:rsid w:val="48DF2E4F"/>
    <w:rsid w:val="48E03D9C"/>
    <w:rsid w:val="490B656E"/>
    <w:rsid w:val="49374149"/>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C728A"/>
    <w:rsid w:val="4CD02623"/>
    <w:rsid w:val="4CFB69A6"/>
    <w:rsid w:val="4D2316EA"/>
    <w:rsid w:val="4D267491"/>
    <w:rsid w:val="4D830955"/>
    <w:rsid w:val="4DBA0BBF"/>
    <w:rsid w:val="4DF641D3"/>
    <w:rsid w:val="4E3E017D"/>
    <w:rsid w:val="4E4B167A"/>
    <w:rsid w:val="4E595188"/>
    <w:rsid w:val="4E5F59DA"/>
    <w:rsid w:val="4E9C207E"/>
    <w:rsid w:val="4EA44C2A"/>
    <w:rsid w:val="4EB52600"/>
    <w:rsid w:val="4EF04DAF"/>
    <w:rsid w:val="4EF23E87"/>
    <w:rsid w:val="4F2941D5"/>
    <w:rsid w:val="4F99730C"/>
    <w:rsid w:val="4FFC0A94"/>
    <w:rsid w:val="50081059"/>
    <w:rsid w:val="50344FAE"/>
    <w:rsid w:val="509C4E92"/>
    <w:rsid w:val="50F36CD9"/>
    <w:rsid w:val="512E641B"/>
    <w:rsid w:val="517D059D"/>
    <w:rsid w:val="519A289D"/>
    <w:rsid w:val="51FA56D9"/>
    <w:rsid w:val="521723B7"/>
    <w:rsid w:val="523F7F97"/>
    <w:rsid w:val="52FA6FA7"/>
    <w:rsid w:val="53047529"/>
    <w:rsid w:val="53B9060B"/>
    <w:rsid w:val="54107975"/>
    <w:rsid w:val="5451551D"/>
    <w:rsid w:val="548B3E8B"/>
    <w:rsid w:val="548C2C0D"/>
    <w:rsid w:val="548E4389"/>
    <w:rsid w:val="54D6790A"/>
    <w:rsid w:val="54D768B9"/>
    <w:rsid w:val="55162205"/>
    <w:rsid w:val="55205953"/>
    <w:rsid w:val="553A4CBA"/>
    <w:rsid w:val="55622A1E"/>
    <w:rsid w:val="557E6857"/>
    <w:rsid w:val="55880F5E"/>
    <w:rsid w:val="55C36E95"/>
    <w:rsid w:val="55E15918"/>
    <w:rsid w:val="55E65C45"/>
    <w:rsid w:val="55F9753C"/>
    <w:rsid w:val="55FA344A"/>
    <w:rsid w:val="560E1027"/>
    <w:rsid w:val="5616542D"/>
    <w:rsid w:val="563A460F"/>
    <w:rsid w:val="566B6C45"/>
    <w:rsid w:val="567F60CC"/>
    <w:rsid w:val="56975E59"/>
    <w:rsid w:val="569C350B"/>
    <w:rsid w:val="56BF0EA2"/>
    <w:rsid w:val="56D31AD8"/>
    <w:rsid w:val="56EA3918"/>
    <w:rsid w:val="57460503"/>
    <w:rsid w:val="575272DC"/>
    <w:rsid w:val="575370FA"/>
    <w:rsid w:val="57B548D9"/>
    <w:rsid w:val="57BD0A78"/>
    <w:rsid w:val="57DC673E"/>
    <w:rsid w:val="57DC6FDD"/>
    <w:rsid w:val="57FB5F50"/>
    <w:rsid w:val="58067D1A"/>
    <w:rsid w:val="586919C2"/>
    <w:rsid w:val="58984B29"/>
    <w:rsid w:val="589E7340"/>
    <w:rsid w:val="58B03A4A"/>
    <w:rsid w:val="58FC0A9B"/>
    <w:rsid w:val="590D5DDF"/>
    <w:rsid w:val="592B53B8"/>
    <w:rsid w:val="596D2668"/>
    <w:rsid w:val="596F34AA"/>
    <w:rsid w:val="59974D7F"/>
    <w:rsid w:val="59C407FC"/>
    <w:rsid w:val="59C754AB"/>
    <w:rsid w:val="59E079AB"/>
    <w:rsid w:val="5A375749"/>
    <w:rsid w:val="5A5A162D"/>
    <w:rsid w:val="5A726BA0"/>
    <w:rsid w:val="5AB04EA5"/>
    <w:rsid w:val="5AB82FDD"/>
    <w:rsid w:val="5AD3204F"/>
    <w:rsid w:val="5AE94788"/>
    <w:rsid w:val="5AE97F46"/>
    <w:rsid w:val="5B071BBA"/>
    <w:rsid w:val="5B3C55BF"/>
    <w:rsid w:val="5B4B4883"/>
    <w:rsid w:val="5B63756F"/>
    <w:rsid w:val="5B725B6B"/>
    <w:rsid w:val="5BBE026D"/>
    <w:rsid w:val="5BD439A7"/>
    <w:rsid w:val="5BDF3319"/>
    <w:rsid w:val="5BE14EE6"/>
    <w:rsid w:val="5C7979D9"/>
    <w:rsid w:val="5C991133"/>
    <w:rsid w:val="5C995E25"/>
    <w:rsid w:val="5CCA7814"/>
    <w:rsid w:val="5D5144C0"/>
    <w:rsid w:val="5D8D143F"/>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243CB"/>
    <w:rsid w:val="60881A7C"/>
    <w:rsid w:val="609751E5"/>
    <w:rsid w:val="60C10976"/>
    <w:rsid w:val="61563C9D"/>
    <w:rsid w:val="617210C7"/>
    <w:rsid w:val="61C16E82"/>
    <w:rsid w:val="61D81A5C"/>
    <w:rsid w:val="620D1678"/>
    <w:rsid w:val="624F1D5A"/>
    <w:rsid w:val="62756A63"/>
    <w:rsid w:val="62B8321C"/>
    <w:rsid w:val="630962B4"/>
    <w:rsid w:val="63766DF5"/>
    <w:rsid w:val="63BE6B4B"/>
    <w:rsid w:val="63D91547"/>
    <w:rsid w:val="63E41E32"/>
    <w:rsid w:val="6406254B"/>
    <w:rsid w:val="643636FB"/>
    <w:rsid w:val="64500FFB"/>
    <w:rsid w:val="64522BD2"/>
    <w:rsid w:val="646766DC"/>
    <w:rsid w:val="648A4A7E"/>
    <w:rsid w:val="64E010F2"/>
    <w:rsid w:val="6503009D"/>
    <w:rsid w:val="651E5E20"/>
    <w:rsid w:val="65535A1B"/>
    <w:rsid w:val="65654DFF"/>
    <w:rsid w:val="657E2D0B"/>
    <w:rsid w:val="657F68B0"/>
    <w:rsid w:val="65817DB1"/>
    <w:rsid w:val="65D84197"/>
    <w:rsid w:val="65F12F76"/>
    <w:rsid w:val="65FE510C"/>
    <w:rsid w:val="660E507B"/>
    <w:rsid w:val="66373410"/>
    <w:rsid w:val="66576902"/>
    <w:rsid w:val="669369C9"/>
    <w:rsid w:val="66943B2D"/>
    <w:rsid w:val="66A9581B"/>
    <w:rsid w:val="66D82AA7"/>
    <w:rsid w:val="66E9436F"/>
    <w:rsid w:val="670859AA"/>
    <w:rsid w:val="67165E6D"/>
    <w:rsid w:val="675A1CF7"/>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CC70D7"/>
    <w:rsid w:val="69291ACC"/>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5068BA"/>
    <w:rsid w:val="6BFF0085"/>
    <w:rsid w:val="6C2F5929"/>
    <w:rsid w:val="6C321BE0"/>
    <w:rsid w:val="6C5569A0"/>
    <w:rsid w:val="6C8F2277"/>
    <w:rsid w:val="6CBE6C13"/>
    <w:rsid w:val="6D17028B"/>
    <w:rsid w:val="6D2552D8"/>
    <w:rsid w:val="6D302D5D"/>
    <w:rsid w:val="6D3C235D"/>
    <w:rsid w:val="6D935AB0"/>
    <w:rsid w:val="6DA62403"/>
    <w:rsid w:val="6DF5498C"/>
    <w:rsid w:val="6E007315"/>
    <w:rsid w:val="6E087119"/>
    <w:rsid w:val="6E0A3A07"/>
    <w:rsid w:val="6E372360"/>
    <w:rsid w:val="6E4F724A"/>
    <w:rsid w:val="6E60770D"/>
    <w:rsid w:val="6EB80F65"/>
    <w:rsid w:val="6F037853"/>
    <w:rsid w:val="6F0B0650"/>
    <w:rsid w:val="6F413BA6"/>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7DE796E"/>
    <w:rsid w:val="78035215"/>
    <w:rsid w:val="780C00B1"/>
    <w:rsid w:val="780F0912"/>
    <w:rsid w:val="784F6AB7"/>
    <w:rsid w:val="78D61CB2"/>
    <w:rsid w:val="78F104FB"/>
    <w:rsid w:val="78FD61AA"/>
    <w:rsid w:val="79493EB1"/>
    <w:rsid w:val="797C66CF"/>
    <w:rsid w:val="79A21387"/>
    <w:rsid w:val="7A7550A6"/>
    <w:rsid w:val="7AAF3771"/>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9273C7"/>
    <w:rsid w:val="7EA33491"/>
    <w:rsid w:val="7EB6487C"/>
    <w:rsid w:val="7EFE1A4D"/>
    <w:rsid w:val="7F2137F9"/>
    <w:rsid w:val="7F504ACB"/>
    <w:rsid w:val="7F5F6399"/>
    <w:rsid w:val="7F7D3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10</Pages>
  <Words>3251</Words>
  <Characters>18532</Characters>
  <Lines>154</Lines>
  <Paragraphs>43</Paragraphs>
  <TotalTime>3</TotalTime>
  <ScaleCrop>false</ScaleCrop>
  <LinksUpToDate>false</LinksUpToDate>
  <CharactersWithSpaces>21740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00255772</cp:lastModifiedBy>
  <cp:lastPrinted>2113-01-01T00:00:00Z</cp:lastPrinted>
  <dcterms:modified xsi:type="dcterms:W3CDTF">2022-08-10T06:00:59Z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